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7366" w:rsidRPr="006506F4" w:rsidRDefault="00374635" w:rsidP="00374635">
      <w:pPr>
        <w:rPr>
          <w:lang w:val="en-US"/>
        </w:rPr>
      </w:pPr>
      <w:bookmarkStart w:id="0" w:name="_GoBack"/>
      <w:bookmarkEnd w:id="0"/>
      <w:r w:rsidRPr="006506F4">
        <w:rPr>
          <w:b/>
          <w:lang w:val="en-US"/>
        </w:rPr>
        <w:t>Memo</w:t>
      </w:r>
      <w:r w:rsidRPr="006506F4">
        <w:rPr>
          <w:lang w:val="en-US"/>
        </w:rPr>
        <w:tab/>
      </w:r>
      <w:r w:rsidRPr="006506F4">
        <w:rPr>
          <w:lang w:val="en-US"/>
        </w:rPr>
        <w:tab/>
      </w:r>
      <w:proofErr w:type="spellStart"/>
      <w:r w:rsidR="00171EB7">
        <w:rPr>
          <w:lang w:val="en-US"/>
        </w:rPr>
        <w:t>Meetnauwkeurigheid</w:t>
      </w:r>
      <w:proofErr w:type="spellEnd"/>
      <w:r w:rsidR="00171EB7">
        <w:rPr>
          <w:lang w:val="en-US"/>
        </w:rPr>
        <w:t xml:space="preserve"> HSB MRTS</w:t>
      </w:r>
    </w:p>
    <w:p w:rsidR="00D97366" w:rsidRPr="00374635" w:rsidRDefault="00374635" w:rsidP="00374635">
      <w:r w:rsidRPr="00171EB7">
        <w:rPr>
          <w:b/>
          <w:lang w:val="en-US"/>
        </w:rPr>
        <w:t>Doc. No.</w:t>
      </w:r>
      <w:r w:rsidRPr="00171EB7">
        <w:rPr>
          <w:lang w:val="en-US"/>
        </w:rPr>
        <w:tab/>
      </w:r>
      <w:r w:rsidR="00895D40">
        <w:fldChar w:fldCharType="begin"/>
      </w:r>
      <w:r w:rsidR="00895D40" w:rsidRPr="00171EB7">
        <w:rPr>
          <w:lang w:val="en-US"/>
        </w:rPr>
        <w:instrText xml:space="preserve"> DOCPROPERTY  "Document number"  \* MERGEFORMAT </w:instrText>
      </w:r>
      <w:r w:rsidR="00895D40">
        <w:fldChar w:fldCharType="separate"/>
      </w:r>
      <w:r w:rsidR="00171EB7">
        <w:t>PHO-0387-A0-2-1</w:t>
      </w:r>
      <w:r w:rsidR="00895D40">
        <w:fldChar w:fldCharType="end"/>
      </w:r>
    </w:p>
    <w:p w:rsidR="00D97366" w:rsidRPr="00374635" w:rsidRDefault="00374635" w:rsidP="00374635">
      <w:r w:rsidRPr="006506F4">
        <w:rPr>
          <w:b/>
        </w:rPr>
        <w:t>Auteur</w:t>
      </w:r>
      <w:r w:rsidRPr="00374635">
        <w:tab/>
      </w:r>
      <w:r w:rsidRPr="00374635">
        <w:tab/>
      </w:r>
      <w:r w:rsidR="00171EB7">
        <w:t>Gerard Scholten</w:t>
      </w:r>
    </w:p>
    <w:p w:rsidR="00D97366" w:rsidRPr="00D97366" w:rsidRDefault="00374635" w:rsidP="00374635">
      <w:r w:rsidRPr="006506F4">
        <w:rPr>
          <w:b/>
        </w:rPr>
        <w:t>Datum</w:t>
      </w:r>
      <w:r>
        <w:tab/>
      </w:r>
      <w:r>
        <w:tab/>
      </w:r>
      <w:r w:rsidR="00895D40">
        <w:fldChar w:fldCharType="begin"/>
      </w:r>
      <w:r w:rsidR="00895D40">
        <w:instrText xml:space="preserve"> DOCPROPERTY  "Date released"  \* MERGEFORMAT </w:instrText>
      </w:r>
      <w:r w:rsidR="00895D40">
        <w:fldChar w:fldCharType="separate"/>
      </w:r>
      <w:r w:rsidR="00171EB7">
        <w:t>05-okt-2017</w:t>
      </w:r>
      <w:r w:rsidR="00895D40">
        <w:fldChar w:fldCharType="end"/>
      </w:r>
    </w:p>
    <w:p w:rsidR="00D97366" w:rsidRDefault="00374635" w:rsidP="00374635">
      <w:r w:rsidRPr="006506F4">
        <w:rPr>
          <w:b/>
        </w:rPr>
        <w:t>Versie</w:t>
      </w:r>
      <w:r>
        <w:tab/>
      </w:r>
      <w:r>
        <w:tab/>
      </w:r>
      <w:r w:rsidR="00895D40">
        <w:fldChar w:fldCharType="begin"/>
      </w:r>
      <w:r w:rsidR="00895D40">
        <w:instrText xml:space="preserve"> DOCPROPERTY  Revision  \* MERGEFORMAT </w:instrText>
      </w:r>
      <w:r w:rsidR="00895D40">
        <w:fldChar w:fldCharType="separate"/>
      </w:r>
      <w:r w:rsidR="00171EB7">
        <w:t>001</w:t>
      </w:r>
      <w:r w:rsidR="00895D40">
        <w:fldChar w:fldCharType="end"/>
      </w:r>
    </w:p>
    <w:tbl>
      <w:tblPr>
        <w:tblStyle w:val="Tabel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602"/>
      </w:tblGrid>
      <w:tr w:rsidR="002D4549" w:rsidRPr="006108EF" w:rsidTr="002D4549">
        <w:trPr>
          <w:trHeight w:hRule="exact" w:val="288"/>
        </w:trPr>
        <w:tc>
          <w:tcPr>
            <w:tcW w:w="5000" w:type="pct"/>
            <w:tcBorders>
              <w:bottom w:val="single" w:sz="4" w:space="0" w:color="7F7F7F" w:themeColor="text1" w:themeTint="80"/>
            </w:tcBorders>
            <w:vAlign w:val="center"/>
          </w:tcPr>
          <w:p w:rsidR="002D4549" w:rsidRPr="009D43C1" w:rsidRDefault="002D4549" w:rsidP="00C36217">
            <w:pPr>
              <w:pStyle w:val="Koptekst"/>
              <w:jc w:val="right"/>
              <w:rPr>
                <w:color w:val="595959" w:themeColor="text1" w:themeTint="A6"/>
              </w:rPr>
            </w:pPr>
          </w:p>
        </w:tc>
      </w:tr>
    </w:tbl>
    <w:p w:rsidR="002D4549" w:rsidRDefault="002D4549" w:rsidP="00844747">
      <w:pPr>
        <w:rPr>
          <w:b/>
        </w:rPr>
      </w:pPr>
    </w:p>
    <w:p w:rsidR="00171EB7" w:rsidRDefault="00171EB7" w:rsidP="00171EB7">
      <w:r>
        <w:t xml:space="preserve">De vereiste meetnauwkeurigheden voor spanningen van </w:t>
      </w:r>
      <w:proofErr w:type="gramStart"/>
      <w:r>
        <w:t>de  hoogspanningsvoedingen</w:t>
      </w:r>
      <w:proofErr w:type="gramEnd"/>
      <w:r>
        <w:t xml:space="preserve"> is niet duidelijk gespecificeerd maar het zou als vol</w:t>
      </w:r>
      <w:r w:rsidR="00A523C6">
        <w:t>g</w:t>
      </w:r>
      <w:r>
        <w:t>t geïnterpreteerd kunnen worden:</w:t>
      </w:r>
    </w:p>
    <w:p w:rsidR="001E28BA" w:rsidRDefault="001E28BA" w:rsidP="00171EB7"/>
    <w:p w:rsidR="00171EB7" w:rsidRDefault="00171EB7" w:rsidP="006303DB">
      <w:pPr>
        <w:numPr>
          <w:ilvl w:val="0"/>
          <w:numId w:val="47"/>
        </w:numPr>
        <w:spacing w:after="160" w:line="259" w:lineRule="auto"/>
      </w:pPr>
      <w:r>
        <w:t xml:space="preserve">Anode behandeling voeding: </w:t>
      </w:r>
      <w:r>
        <w:tab/>
      </w:r>
      <w:r>
        <w:tab/>
        <w:t>10% van volle 10KV schaal</w:t>
      </w:r>
    </w:p>
    <w:p w:rsidR="00171EB7" w:rsidRDefault="00171EB7" w:rsidP="006303DB">
      <w:pPr>
        <w:numPr>
          <w:ilvl w:val="0"/>
          <w:numId w:val="47"/>
        </w:numPr>
        <w:spacing w:after="160" w:line="259" w:lineRule="auto"/>
      </w:pPr>
      <w:r>
        <w:t>Kathode/</w:t>
      </w:r>
      <w:proofErr w:type="gramStart"/>
      <w:r>
        <w:t>MCP behandeling</w:t>
      </w:r>
      <w:proofErr w:type="gramEnd"/>
      <w:r>
        <w:t xml:space="preserve"> voeding: </w:t>
      </w:r>
      <w:r>
        <w:tab/>
        <w:t>5% van volle 2KV</w:t>
      </w:r>
    </w:p>
    <w:p w:rsidR="00171EB7" w:rsidRDefault="00171EB7" w:rsidP="00171EB7">
      <w:pPr>
        <w:numPr>
          <w:ilvl w:val="0"/>
          <w:numId w:val="47"/>
        </w:numPr>
        <w:spacing w:after="160" w:line="259" w:lineRule="auto"/>
      </w:pPr>
      <w:r>
        <w:t xml:space="preserve">Tesla behandeling: </w:t>
      </w:r>
      <w:r>
        <w:tab/>
      </w:r>
      <w:r>
        <w:tab/>
      </w:r>
      <w:r>
        <w:tab/>
        <w:t>5% van volle 6KV schaal</w:t>
      </w:r>
    </w:p>
    <w:p w:rsidR="00171EB7" w:rsidRDefault="00171EB7" w:rsidP="00171EB7">
      <w:r>
        <w:t xml:space="preserve">Hierna volgt een analyse van de te verwachten meetnauwkeurigheid voor en na </w:t>
      </w:r>
      <w:proofErr w:type="spellStart"/>
      <w:r>
        <w:t>calibratie</w:t>
      </w:r>
      <w:proofErr w:type="spellEnd"/>
      <w:r>
        <w:t>.</w:t>
      </w:r>
    </w:p>
    <w:p w:rsidR="00171EB7" w:rsidRDefault="00171EB7" w:rsidP="00171EB7"/>
    <w:p w:rsidR="00171EB7" w:rsidRDefault="00171EB7" w:rsidP="00171EB7">
      <w:pPr>
        <w:rPr>
          <w:b/>
          <w:u w:val="single"/>
        </w:rPr>
      </w:pPr>
      <w:r w:rsidRPr="0005089B">
        <w:rPr>
          <w:b/>
          <w:u w:val="single"/>
        </w:rPr>
        <w:t>Anode meetcircuit</w:t>
      </w:r>
    </w:p>
    <w:p w:rsidR="001E28BA" w:rsidRPr="0005089B" w:rsidRDefault="001E28BA" w:rsidP="00171EB7">
      <w:pPr>
        <w:rPr>
          <w:b/>
          <w:u w:val="single"/>
        </w:rPr>
      </w:pPr>
    </w:p>
    <w:p w:rsidR="00171EB7" w:rsidRDefault="00171EB7" w:rsidP="00171EB7">
      <w:pPr>
        <w:pStyle w:val="Lijstalinea"/>
        <w:numPr>
          <w:ilvl w:val="0"/>
          <w:numId w:val="46"/>
        </w:numPr>
        <w:spacing w:after="160" w:line="259" w:lineRule="auto"/>
      </w:pPr>
      <w:proofErr w:type="gramStart"/>
      <w:r>
        <w:t>HV spanningsdeler</w:t>
      </w:r>
      <w:proofErr w:type="gramEnd"/>
      <w:r>
        <w:t xml:space="preserve"> weerstandstolerantie</w:t>
      </w:r>
      <w:r>
        <w:br/>
        <w:t xml:space="preserve">Spanningsdeler bestaat uit twee weerstanden (1% en een 0.1% tolerantie). De maximale tolerantie van de spanningsdeler is afgerond 1.1%. Deze tolerantie kan worden weg-gekalibreerd maar daar is een hoogspanningsbron met aanzienlijk kleinere tolerantie voor nodig. Gedurende een jaar na </w:t>
      </w:r>
      <w:proofErr w:type="spellStart"/>
      <w:r>
        <w:t>calibratie</w:t>
      </w:r>
      <w:proofErr w:type="spellEnd"/>
      <w:r>
        <w:t xml:space="preserve"> is een nauwkeurigheid van &lt; 0.5% te verwachten.</w:t>
      </w:r>
    </w:p>
    <w:p w:rsidR="00171EB7" w:rsidRDefault="00171EB7" w:rsidP="00171EB7">
      <w:pPr>
        <w:pStyle w:val="Lijstalinea"/>
        <w:numPr>
          <w:ilvl w:val="0"/>
          <w:numId w:val="46"/>
        </w:numPr>
        <w:spacing w:after="160" w:line="259" w:lineRule="auto"/>
      </w:pPr>
      <w:r>
        <w:t>Hoogspanningsweerstand voltage coëfficiënt.</w:t>
      </w:r>
      <w:r>
        <w:br/>
        <w:t xml:space="preserve">Deze is volgens </w:t>
      </w:r>
      <w:proofErr w:type="gramStart"/>
      <w:r>
        <w:t>de</w:t>
      </w:r>
      <w:proofErr w:type="gramEnd"/>
      <w:r>
        <w:t xml:space="preserve"> datasheet maximaal 2ppm/volt. Bij 10KV is dat 2%. Hoe deze afwijking in tijd verloopt is niet gespecificeerd, een conservatieve schatting is dat na </w:t>
      </w:r>
      <w:proofErr w:type="spellStart"/>
      <w:r>
        <w:t>calibratie</w:t>
      </w:r>
      <w:proofErr w:type="spellEnd"/>
      <w:r>
        <w:t xml:space="preserve"> 1% aangehouden kan worden. Ook hier geld dat voor </w:t>
      </w:r>
      <w:proofErr w:type="spellStart"/>
      <w:r>
        <w:t>calibratie</w:t>
      </w:r>
      <w:proofErr w:type="spellEnd"/>
      <w:r>
        <w:t xml:space="preserve"> een nauwkeurige hoogspanningsbron nodig.</w:t>
      </w:r>
    </w:p>
    <w:p w:rsidR="00171EB7" w:rsidRPr="0042552A" w:rsidRDefault="00171EB7" w:rsidP="00171EB7">
      <w:pPr>
        <w:pStyle w:val="Lijstalinea"/>
        <w:numPr>
          <w:ilvl w:val="0"/>
          <w:numId w:val="46"/>
        </w:numPr>
        <w:spacing w:after="160" w:line="259" w:lineRule="auto"/>
      </w:pPr>
      <w:proofErr w:type="spellStart"/>
      <w:r w:rsidRPr="0042552A">
        <w:t>Opamp</w:t>
      </w:r>
      <w:proofErr w:type="spellEnd"/>
      <w:r w:rsidRPr="0042552A">
        <w:t xml:space="preserve"> offset</w:t>
      </w:r>
      <w:r>
        <w:t>.</w:t>
      </w:r>
      <w:r>
        <w:br/>
        <w:t xml:space="preserve">max offset volgens datasheet is 0.22mV, er staan twee </w:t>
      </w:r>
      <w:proofErr w:type="spellStart"/>
      <w:r>
        <w:t>opamps</w:t>
      </w:r>
      <w:proofErr w:type="spellEnd"/>
      <w:r>
        <w:t xml:space="preserve"> achter elkaar dus dat resulteert in 0.44mV. Dat is ca 0.02% van 2.5V volle schaal. Bij lagere spanningen </w:t>
      </w:r>
      <w:proofErr w:type="gramStart"/>
      <w:r>
        <w:t>neemt  de</w:t>
      </w:r>
      <w:proofErr w:type="gramEnd"/>
      <w:r>
        <w:t xml:space="preserve"> onnauwkeurigheid toe omdat het een vaste spanningsafwijking betreft. Deze afwijking kan worden weg-gekalibreerd en de inschatting is ook hier de helft na </w:t>
      </w:r>
      <w:proofErr w:type="spellStart"/>
      <w:r>
        <w:t>calibratie</w:t>
      </w:r>
      <w:proofErr w:type="spellEnd"/>
      <w:r>
        <w:t>: 0.01%.</w:t>
      </w:r>
    </w:p>
    <w:p w:rsidR="00171EB7" w:rsidRPr="0042552A" w:rsidRDefault="00171EB7" w:rsidP="00171EB7">
      <w:pPr>
        <w:pStyle w:val="Lijstalinea"/>
        <w:numPr>
          <w:ilvl w:val="0"/>
          <w:numId w:val="46"/>
        </w:numPr>
        <w:spacing w:after="160" w:line="259" w:lineRule="auto"/>
      </w:pPr>
      <w:proofErr w:type="spellStart"/>
      <w:r w:rsidRPr="0042552A">
        <w:t>Opamp</w:t>
      </w:r>
      <w:proofErr w:type="spellEnd"/>
      <w:r w:rsidRPr="0042552A">
        <w:t xml:space="preserve"> bias </w:t>
      </w:r>
      <w:proofErr w:type="spellStart"/>
      <w:r w:rsidRPr="0042552A">
        <w:t>current</w:t>
      </w:r>
      <w:proofErr w:type="spellEnd"/>
      <w:r>
        <w:t>.</w:t>
      </w:r>
      <w:r>
        <w:br/>
        <w:t>Volgens de datasheet max 50pA. Dit is een factor 5 miljoen minder dan de stroom die door de spanningsdeler loopt bij 10KV dus de resulterende afwijking is verwaarloosbaar.</w:t>
      </w:r>
    </w:p>
    <w:p w:rsidR="00171EB7" w:rsidRPr="0042552A" w:rsidRDefault="00171EB7" w:rsidP="00171EB7">
      <w:pPr>
        <w:pStyle w:val="Lijstalinea"/>
        <w:numPr>
          <w:ilvl w:val="0"/>
          <w:numId w:val="46"/>
        </w:numPr>
        <w:spacing w:after="160" w:line="259" w:lineRule="auto"/>
      </w:pPr>
      <w:r w:rsidRPr="0042552A">
        <w:t xml:space="preserve">Voltage </w:t>
      </w:r>
      <w:proofErr w:type="spellStart"/>
      <w:r w:rsidRPr="0042552A">
        <w:t>reference</w:t>
      </w:r>
      <w:proofErr w:type="spellEnd"/>
      <w:r>
        <w:t>.</w:t>
      </w:r>
      <w:r>
        <w:br/>
        <w:t xml:space="preserve">Volgens </w:t>
      </w:r>
      <w:proofErr w:type="gramStart"/>
      <w:r>
        <w:t>de</w:t>
      </w:r>
      <w:proofErr w:type="gramEnd"/>
      <w:r>
        <w:t xml:space="preserve"> datasheet geeft deze maximaal 0.2% afwijking. Ook hier helpt </w:t>
      </w:r>
      <w:proofErr w:type="spellStart"/>
      <w:r>
        <w:t>calibratie</w:t>
      </w:r>
      <w:proofErr w:type="spellEnd"/>
      <w:r>
        <w:t xml:space="preserve"> en schat ik na </w:t>
      </w:r>
      <w:proofErr w:type="spellStart"/>
      <w:r>
        <w:t>calibratie</w:t>
      </w:r>
      <w:proofErr w:type="spellEnd"/>
      <w:r>
        <w:t xml:space="preserve"> 0.1%.</w:t>
      </w:r>
    </w:p>
    <w:p w:rsidR="00171EB7" w:rsidRPr="0042552A" w:rsidRDefault="00171EB7" w:rsidP="00171EB7">
      <w:pPr>
        <w:pStyle w:val="Lijstalinea"/>
        <w:numPr>
          <w:ilvl w:val="0"/>
          <w:numId w:val="46"/>
        </w:numPr>
        <w:spacing w:after="160" w:line="259" w:lineRule="auto"/>
      </w:pPr>
      <w:r w:rsidRPr="0042552A">
        <w:t>ADC</w:t>
      </w:r>
      <w:r>
        <w:br/>
        <w:t xml:space="preserve">De datasheet </w:t>
      </w:r>
      <w:proofErr w:type="spellStart"/>
      <w:proofErr w:type="gramStart"/>
      <w:r>
        <w:t>spect</w:t>
      </w:r>
      <w:proofErr w:type="spellEnd"/>
      <w:r>
        <w:t xml:space="preserve">  15.5</w:t>
      </w:r>
      <w:proofErr w:type="gramEnd"/>
      <w:r>
        <w:t xml:space="preserve"> LSB voor </w:t>
      </w:r>
      <w:proofErr w:type="spellStart"/>
      <w:r>
        <w:t>calibratie</w:t>
      </w:r>
      <w:proofErr w:type="spellEnd"/>
      <w:r>
        <w:t xml:space="preserve"> en 7.5LSB erna. Dat komt neer op respectievelijk 0.4% en 0.2% van volle schaal. Net als bij de </w:t>
      </w:r>
      <w:proofErr w:type="spellStart"/>
      <w:r>
        <w:t>opamp_offset</w:t>
      </w:r>
      <w:proofErr w:type="spellEnd"/>
      <w:r>
        <w:t xml:space="preserve"> geld dat de procentuele afwijking toeneemt bij lagere spanningen.</w:t>
      </w:r>
    </w:p>
    <w:p w:rsidR="00171EB7" w:rsidRPr="002920DE" w:rsidRDefault="00171EB7" w:rsidP="00171EB7">
      <w:pPr>
        <w:pStyle w:val="Lijstalinea"/>
        <w:numPr>
          <w:ilvl w:val="0"/>
          <w:numId w:val="46"/>
        </w:numPr>
        <w:spacing w:after="160" w:line="259" w:lineRule="auto"/>
      </w:pPr>
      <w:r w:rsidRPr="002920DE">
        <w:t>Schakelcapaciteit</w:t>
      </w:r>
      <w:r>
        <w:t>.</w:t>
      </w:r>
      <w:r>
        <w:br/>
        <w:t xml:space="preserve">Elke SAR ADC schakelt een condensator parallel aan de ingang bij het nemen van een sample. Het opladen van deze condensator veroorzaakt een afwijking die afhankelijk is van de impedantie van de aansturende spanningsbron en ook van de sample </w:t>
      </w:r>
      <w:proofErr w:type="spellStart"/>
      <w:r>
        <w:t>rate</w:t>
      </w:r>
      <w:proofErr w:type="spellEnd"/>
      <w:r>
        <w:t xml:space="preserve">. De </w:t>
      </w:r>
      <w:proofErr w:type="gramStart"/>
      <w:r>
        <w:t>ADC datasheet</w:t>
      </w:r>
      <w:proofErr w:type="gramEnd"/>
      <w:r>
        <w:t xml:space="preserve"> vermeld geen </w:t>
      </w:r>
      <w:proofErr w:type="spellStart"/>
      <w:r>
        <w:t>specs</w:t>
      </w:r>
      <w:proofErr w:type="spellEnd"/>
      <w:r>
        <w:t xml:space="preserve"> maar ik zou geen lagere sample </w:t>
      </w:r>
      <w:proofErr w:type="spellStart"/>
      <w:r>
        <w:t>rate</w:t>
      </w:r>
      <w:proofErr w:type="spellEnd"/>
      <w:r>
        <w:t xml:space="preserve"> dan 1ksps toepassen. Of de 330 ohm weerstand nog iets merkbaars doet in deze situatie kun je verifiëren door tijdelijk een 100nf condensator parallel over </w:t>
      </w:r>
      <w:r>
        <w:lastRenderedPageBreak/>
        <w:t xml:space="preserve">de </w:t>
      </w:r>
      <w:proofErr w:type="spellStart"/>
      <w:r>
        <w:t>zenerdiode</w:t>
      </w:r>
      <w:proofErr w:type="spellEnd"/>
      <w:r>
        <w:t xml:space="preserve"> te zetten en checken of dit verschil maakt. Dat zou ik wel doen maar voorlopig zet ik de afwijking op nul omdat het in ieder geval na verificatie als een vaste factor is te beschouwen die in de software kan worden weggewerkt.</w:t>
      </w:r>
    </w:p>
    <w:p w:rsidR="00171EB7" w:rsidRDefault="00171EB7" w:rsidP="00171EB7">
      <w:pPr>
        <w:pStyle w:val="Lijstalinea"/>
        <w:numPr>
          <w:ilvl w:val="0"/>
          <w:numId w:val="46"/>
        </w:numPr>
        <w:spacing w:after="160" w:line="259" w:lineRule="auto"/>
      </w:pPr>
      <w:r w:rsidRPr="002920DE">
        <w:t>Externe factoren</w:t>
      </w:r>
      <w:r>
        <w:t>.</w:t>
      </w:r>
      <w:r>
        <w:br/>
        <w:t xml:space="preserve">Een </w:t>
      </w:r>
      <w:proofErr w:type="spellStart"/>
      <w:r>
        <w:t>giga</w:t>
      </w:r>
      <w:proofErr w:type="spellEnd"/>
      <w:r>
        <w:t xml:space="preserve">-ohm weerstand is erg hoog en beïnvloedbaar door wat er in de lucht zit. Ik zou deze weerstand daarom coaten. Als dit gedaan is zal de afwijking wellicht meevallen. Ik kan ook geen andere omstandigheden zo bedenken die invloed kunnen hebben maar met hoge spanningen en hoge </w:t>
      </w:r>
      <w:proofErr w:type="spellStart"/>
      <w:r>
        <w:t>impedanties</w:t>
      </w:r>
      <w:proofErr w:type="spellEnd"/>
      <w:r>
        <w:t xml:space="preserve"> weet je het nooit zeker. Voorlopig zet ik het maar op nul.</w:t>
      </w:r>
    </w:p>
    <w:p w:rsidR="00171EB7" w:rsidRDefault="00171EB7" w:rsidP="00171EB7">
      <w:pPr>
        <w:pStyle w:val="Lijstalinea"/>
      </w:pPr>
    </w:p>
    <w:p w:rsidR="00171EB7" w:rsidRDefault="00171EB7" w:rsidP="00171EB7">
      <w:pPr>
        <w:pStyle w:val="Lijstalinea"/>
        <w:ind w:left="0"/>
      </w:pPr>
      <w:r>
        <w:t>In onderstaande tabel zijn alle afwijkingen opgeteld om tot een maximale afwijking te komen. Dit is een conservatieve benadering omdat de kans erg klein is dat alle afwijkingen maximaal zijn en dezelfde kant op wijzen. De afwijkingen zijn percentages van volle schaal.</w:t>
      </w:r>
    </w:p>
    <w:p w:rsidR="00171EB7" w:rsidRDefault="00171EB7" w:rsidP="00171EB7">
      <w:pPr>
        <w:pStyle w:val="Lijstalinea"/>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1581"/>
        <w:gridCol w:w="1583"/>
      </w:tblGrid>
      <w:tr w:rsidR="00171EB7" w:rsidTr="001E28BA">
        <w:trPr>
          <w:jc w:val="center"/>
        </w:trPr>
        <w:tc>
          <w:tcPr>
            <w:tcW w:w="2532" w:type="dxa"/>
            <w:shd w:val="clear" w:color="auto" w:fill="auto"/>
          </w:tcPr>
          <w:p w:rsidR="00171EB7" w:rsidRPr="0005089B" w:rsidRDefault="00171EB7" w:rsidP="00E5496B">
            <w:pPr>
              <w:pStyle w:val="Lijstalinea"/>
              <w:ind w:left="0"/>
              <w:rPr>
                <w:b/>
              </w:rPr>
            </w:pPr>
            <w:proofErr w:type="gramStart"/>
            <w:r w:rsidRPr="0005089B">
              <w:rPr>
                <w:b/>
              </w:rPr>
              <w:t>Afwijking  Oorzaak</w:t>
            </w:r>
            <w:proofErr w:type="gramEnd"/>
          </w:p>
        </w:tc>
        <w:tc>
          <w:tcPr>
            <w:tcW w:w="1581" w:type="dxa"/>
            <w:shd w:val="clear" w:color="auto" w:fill="auto"/>
          </w:tcPr>
          <w:p w:rsidR="00171EB7" w:rsidRPr="0005089B" w:rsidRDefault="00171EB7" w:rsidP="00E5496B">
            <w:pPr>
              <w:pStyle w:val="Lijstalinea"/>
              <w:ind w:left="0"/>
              <w:rPr>
                <w:b/>
              </w:rPr>
            </w:pPr>
            <w:r w:rsidRPr="0005089B">
              <w:rPr>
                <w:b/>
              </w:rPr>
              <w:t xml:space="preserve">Afwijking voor </w:t>
            </w:r>
            <w:proofErr w:type="spellStart"/>
            <w:r w:rsidRPr="0005089B">
              <w:rPr>
                <w:b/>
              </w:rPr>
              <w:t>calibratie</w:t>
            </w:r>
            <w:proofErr w:type="spellEnd"/>
          </w:p>
        </w:tc>
        <w:tc>
          <w:tcPr>
            <w:tcW w:w="1583" w:type="dxa"/>
            <w:shd w:val="clear" w:color="auto" w:fill="auto"/>
          </w:tcPr>
          <w:p w:rsidR="00171EB7" w:rsidRPr="0005089B" w:rsidRDefault="00171EB7" w:rsidP="00E5496B">
            <w:pPr>
              <w:pStyle w:val="Lijstalinea"/>
              <w:ind w:left="0"/>
              <w:rPr>
                <w:b/>
              </w:rPr>
            </w:pPr>
            <w:r w:rsidRPr="0005089B">
              <w:rPr>
                <w:b/>
              </w:rPr>
              <w:t xml:space="preserve">Afwijking na </w:t>
            </w:r>
            <w:proofErr w:type="spellStart"/>
            <w:r w:rsidRPr="0005089B">
              <w:rPr>
                <w:b/>
              </w:rPr>
              <w:t>calibratie</w:t>
            </w:r>
            <w:proofErr w:type="spellEnd"/>
          </w:p>
        </w:tc>
      </w:tr>
      <w:tr w:rsidR="00171EB7" w:rsidTr="001E28BA">
        <w:trPr>
          <w:jc w:val="center"/>
        </w:trPr>
        <w:tc>
          <w:tcPr>
            <w:tcW w:w="2532" w:type="dxa"/>
            <w:shd w:val="clear" w:color="auto" w:fill="auto"/>
          </w:tcPr>
          <w:p w:rsidR="00171EB7" w:rsidRDefault="00171EB7" w:rsidP="00E5496B">
            <w:pPr>
              <w:pStyle w:val="Lijstalinea"/>
              <w:ind w:left="0"/>
            </w:pPr>
            <w:proofErr w:type="gramStart"/>
            <w:r>
              <w:t>HV spanningsdeler</w:t>
            </w:r>
            <w:proofErr w:type="gramEnd"/>
            <w:r>
              <w:t xml:space="preserve"> weerstandstolerantie</w:t>
            </w:r>
          </w:p>
        </w:tc>
        <w:tc>
          <w:tcPr>
            <w:tcW w:w="1581" w:type="dxa"/>
            <w:shd w:val="clear" w:color="auto" w:fill="auto"/>
          </w:tcPr>
          <w:p w:rsidR="00171EB7" w:rsidRDefault="00171EB7" w:rsidP="00E5496B">
            <w:pPr>
              <w:pStyle w:val="Lijstalinea"/>
              <w:ind w:left="0"/>
            </w:pPr>
            <w:r>
              <w:t>1.1%</w:t>
            </w:r>
          </w:p>
        </w:tc>
        <w:tc>
          <w:tcPr>
            <w:tcW w:w="1583" w:type="dxa"/>
            <w:shd w:val="clear" w:color="auto" w:fill="auto"/>
          </w:tcPr>
          <w:p w:rsidR="00171EB7" w:rsidRDefault="00171EB7" w:rsidP="00E5496B">
            <w:pPr>
              <w:pStyle w:val="Lijstalinea"/>
              <w:ind w:left="0"/>
            </w:pPr>
            <w:r>
              <w:t>0.5%</w:t>
            </w:r>
          </w:p>
        </w:tc>
      </w:tr>
      <w:tr w:rsidR="00171EB7" w:rsidTr="001E28BA">
        <w:trPr>
          <w:jc w:val="center"/>
        </w:trPr>
        <w:tc>
          <w:tcPr>
            <w:tcW w:w="2532" w:type="dxa"/>
            <w:shd w:val="clear" w:color="auto" w:fill="auto"/>
          </w:tcPr>
          <w:p w:rsidR="00171EB7" w:rsidRDefault="00171EB7" w:rsidP="00E5496B">
            <w:pPr>
              <w:pStyle w:val="Lijstalinea"/>
              <w:ind w:left="0"/>
            </w:pPr>
            <w:r>
              <w:t>Hoogspanningsweerstand voltage coëfficiënt</w:t>
            </w:r>
          </w:p>
        </w:tc>
        <w:tc>
          <w:tcPr>
            <w:tcW w:w="1581" w:type="dxa"/>
            <w:shd w:val="clear" w:color="auto" w:fill="auto"/>
          </w:tcPr>
          <w:p w:rsidR="00171EB7" w:rsidRDefault="00171EB7" w:rsidP="00E5496B">
            <w:pPr>
              <w:pStyle w:val="Lijstalinea"/>
              <w:ind w:left="0"/>
            </w:pPr>
            <w:r>
              <w:t>2%</w:t>
            </w:r>
          </w:p>
        </w:tc>
        <w:tc>
          <w:tcPr>
            <w:tcW w:w="1583" w:type="dxa"/>
            <w:shd w:val="clear" w:color="auto" w:fill="auto"/>
          </w:tcPr>
          <w:p w:rsidR="00171EB7" w:rsidRDefault="00171EB7" w:rsidP="00E5496B">
            <w:pPr>
              <w:pStyle w:val="Lijstalinea"/>
              <w:ind w:left="0"/>
            </w:pPr>
            <w:r>
              <w:t>1%</w:t>
            </w:r>
          </w:p>
        </w:tc>
      </w:tr>
      <w:tr w:rsidR="00171EB7" w:rsidTr="001E28BA">
        <w:trPr>
          <w:jc w:val="center"/>
        </w:trPr>
        <w:tc>
          <w:tcPr>
            <w:tcW w:w="2532" w:type="dxa"/>
            <w:shd w:val="clear" w:color="auto" w:fill="auto"/>
          </w:tcPr>
          <w:p w:rsidR="00171EB7" w:rsidRDefault="00171EB7" w:rsidP="00E5496B">
            <w:pPr>
              <w:pStyle w:val="Lijstalinea"/>
              <w:ind w:left="0"/>
            </w:pPr>
            <w:proofErr w:type="spellStart"/>
            <w:r w:rsidRPr="0042552A">
              <w:t>Opamp</w:t>
            </w:r>
            <w:proofErr w:type="spellEnd"/>
            <w:r w:rsidRPr="0042552A">
              <w:t xml:space="preserve"> offset</w:t>
            </w:r>
          </w:p>
        </w:tc>
        <w:tc>
          <w:tcPr>
            <w:tcW w:w="1581" w:type="dxa"/>
            <w:shd w:val="clear" w:color="auto" w:fill="auto"/>
          </w:tcPr>
          <w:p w:rsidR="00171EB7" w:rsidRDefault="00171EB7" w:rsidP="00E5496B">
            <w:pPr>
              <w:pStyle w:val="Lijstalinea"/>
              <w:ind w:left="0"/>
            </w:pPr>
            <w:r>
              <w:t>0.02%</w:t>
            </w:r>
          </w:p>
        </w:tc>
        <w:tc>
          <w:tcPr>
            <w:tcW w:w="1583" w:type="dxa"/>
            <w:shd w:val="clear" w:color="auto" w:fill="auto"/>
          </w:tcPr>
          <w:p w:rsidR="00171EB7" w:rsidRDefault="00171EB7" w:rsidP="00E5496B">
            <w:pPr>
              <w:pStyle w:val="Lijstalinea"/>
              <w:ind w:left="0"/>
            </w:pPr>
            <w:r>
              <w:t>0.01%</w:t>
            </w:r>
          </w:p>
        </w:tc>
      </w:tr>
      <w:tr w:rsidR="00171EB7" w:rsidTr="001E28BA">
        <w:trPr>
          <w:jc w:val="center"/>
        </w:trPr>
        <w:tc>
          <w:tcPr>
            <w:tcW w:w="2532" w:type="dxa"/>
            <w:shd w:val="clear" w:color="auto" w:fill="auto"/>
          </w:tcPr>
          <w:p w:rsidR="00171EB7" w:rsidRDefault="00171EB7" w:rsidP="00E5496B">
            <w:pPr>
              <w:pStyle w:val="Lijstalinea"/>
              <w:ind w:left="0"/>
            </w:pPr>
            <w:r w:rsidRPr="0042552A">
              <w:t xml:space="preserve">Voltage </w:t>
            </w:r>
            <w:proofErr w:type="spellStart"/>
            <w:r w:rsidRPr="0042552A">
              <w:t>reference</w:t>
            </w:r>
            <w:proofErr w:type="spellEnd"/>
          </w:p>
        </w:tc>
        <w:tc>
          <w:tcPr>
            <w:tcW w:w="1581" w:type="dxa"/>
            <w:shd w:val="clear" w:color="auto" w:fill="auto"/>
          </w:tcPr>
          <w:p w:rsidR="00171EB7" w:rsidRDefault="00171EB7" w:rsidP="00E5496B">
            <w:pPr>
              <w:pStyle w:val="Lijstalinea"/>
              <w:ind w:left="0"/>
            </w:pPr>
            <w:r>
              <w:t>0.2%</w:t>
            </w:r>
          </w:p>
        </w:tc>
        <w:tc>
          <w:tcPr>
            <w:tcW w:w="1583" w:type="dxa"/>
            <w:shd w:val="clear" w:color="auto" w:fill="auto"/>
          </w:tcPr>
          <w:p w:rsidR="00171EB7" w:rsidRDefault="00171EB7" w:rsidP="00E5496B">
            <w:pPr>
              <w:pStyle w:val="Lijstalinea"/>
              <w:ind w:left="0"/>
            </w:pPr>
            <w:r>
              <w:t>0.1%</w:t>
            </w:r>
          </w:p>
        </w:tc>
      </w:tr>
      <w:tr w:rsidR="00171EB7" w:rsidTr="001E28BA">
        <w:trPr>
          <w:jc w:val="center"/>
        </w:trPr>
        <w:tc>
          <w:tcPr>
            <w:tcW w:w="2532" w:type="dxa"/>
            <w:shd w:val="clear" w:color="auto" w:fill="auto"/>
          </w:tcPr>
          <w:p w:rsidR="00171EB7" w:rsidRDefault="00171EB7" w:rsidP="00E5496B">
            <w:pPr>
              <w:pStyle w:val="Lijstalinea"/>
              <w:ind w:left="0"/>
            </w:pPr>
            <w:r w:rsidRPr="0042552A">
              <w:t>ADC</w:t>
            </w:r>
          </w:p>
        </w:tc>
        <w:tc>
          <w:tcPr>
            <w:tcW w:w="1581" w:type="dxa"/>
            <w:shd w:val="clear" w:color="auto" w:fill="auto"/>
          </w:tcPr>
          <w:p w:rsidR="00171EB7" w:rsidRDefault="00171EB7" w:rsidP="00E5496B">
            <w:pPr>
              <w:pStyle w:val="Lijstalinea"/>
              <w:ind w:left="0"/>
            </w:pPr>
            <w:r>
              <w:t>0.4%</w:t>
            </w:r>
          </w:p>
        </w:tc>
        <w:tc>
          <w:tcPr>
            <w:tcW w:w="1583" w:type="dxa"/>
            <w:shd w:val="clear" w:color="auto" w:fill="auto"/>
          </w:tcPr>
          <w:p w:rsidR="00171EB7" w:rsidRDefault="00171EB7" w:rsidP="00E5496B">
            <w:pPr>
              <w:pStyle w:val="Lijstalinea"/>
              <w:ind w:left="0"/>
            </w:pPr>
            <w:r>
              <w:t>0.2%</w:t>
            </w:r>
          </w:p>
        </w:tc>
      </w:tr>
      <w:tr w:rsidR="00171EB7" w:rsidTr="001E28BA">
        <w:trPr>
          <w:jc w:val="center"/>
        </w:trPr>
        <w:tc>
          <w:tcPr>
            <w:tcW w:w="2532" w:type="dxa"/>
            <w:shd w:val="clear" w:color="auto" w:fill="auto"/>
          </w:tcPr>
          <w:p w:rsidR="00171EB7" w:rsidRDefault="00171EB7" w:rsidP="00E5496B">
            <w:pPr>
              <w:pStyle w:val="Lijstalinea"/>
              <w:ind w:left="0"/>
            </w:pPr>
          </w:p>
        </w:tc>
        <w:tc>
          <w:tcPr>
            <w:tcW w:w="1581" w:type="dxa"/>
            <w:shd w:val="clear" w:color="auto" w:fill="auto"/>
          </w:tcPr>
          <w:p w:rsidR="00171EB7" w:rsidRDefault="00171EB7" w:rsidP="00E5496B">
            <w:pPr>
              <w:pStyle w:val="Lijstalinea"/>
              <w:ind w:left="0"/>
            </w:pPr>
          </w:p>
        </w:tc>
        <w:tc>
          <w:tcPr>
            <w:tcW w:w="1583" w:type="dxa"/>
            <w:shd w:val="clear" w:color="auto" w:fill="auto"/>
          </w:tcPr>
          <w:p w:rsidR="00171EB7" w:rsidRDefault="00171EB7" w:rsidP="00E5496B">
            <w:pPr>
              <w:pStyle w:val="Lijstalinea"/>
              <w:ind w:left="0"/>
            </w:pPr>
          </w:p>
        </w:tc>
      </w:tr>
      <w:tr w:rsidR="00171EB7" w:rsidTr="001E28BA">
        <w:trPr>
          <w:jc w:val="center"/>
        </w:trPr>
        <w:tc>
          <w:tcPr>
            <w:tcW w:w="2532" w:type="dxa"/>
            <w:shd w:val="clear" w:color="auto" w:fill="auto"/>
          </w:tcPr>
          <w:p w:rsidR="00171EB7" w:rsidRPr="0005089B" w:rsidRDefault="00171EB7" w:rsidP="00E5496B">
            <w:pPr>
              <w:pStyle w:val="Lijstalinea"/>
              <w:ind w:left="0"/>
              <w:rPr>
                <w:b/>
              </w:rPr>
            </w:pPr>
            <w:r w:rsidRPr="0005089B">
              <w:rPr>
                <w:b/>
              </w:rPr>
              <w:t>Som</w:t>
            </w:r>
          </w:p>
        </w:tc>
        <w:tc>
          <w:tcPr>
            <w:tcW w:w="1581" w:type="dxa"/>
            <w:shd w:val="clear" w:color="auto" w:fill="auto"/>
          </w:tcPr>
          <w:p w:rsidR="00171EB7" w:rsidRPr="0005089B" w:rsidRDefault="00171EB7" w:rsidP="00E5496B">
            <w:pPr>
              <w:pStyle w:val="Lijstalinea"/>
              <w:ind w:left="0"/>
              <w:rPr>
                <w:b/>
                <w:u w:val="single"/>
              </w:rPr>
            </w:pPr>
            <w:r w:rsidRPr="0005089B">
              <w:rPr>
                <w:b/>
                <w:u w:val="single"/>
              </w:rPr>
              <w:t>3.72%</w:t>
            </w:r>
          </w:p>
        </w:tc>
        <w:tc>
          <w:tcPr>
            <w:tcW w:w="1583" w:type="dxa"/>
            <w:shd w:val="clear" w:color="auto" w:fill="auto"/>
          </w:tcPr>
          <w:p w:rsidR="00171EB7" w:rsidRPr="0005089B" w:rsidRDefault="00171EB7" w:rsidP="00E5496B">
            <w:pPr>
              <w:pStyle w:val="Lijstalinea"/>
              <w:ind w:left="0"/>
              <w:rPr>
                <w:b/>
                <w:u w:val="single"/>
              </w:rPr>
            </w:pPr>
            <w:r w:rsidRPr="0005089B">
              <w:rPr>
                <w:b/>
                <w:u w:val="single"/>
              </w:rPr>
              <w:t>1.81%</w:t>
            </w:r>
          </w:p>
        </w:tc>
      </w:tr>
    </w:tbl>
    <w:p w:rsidR="00171EB7" w:rsidRDefault="00171EB7" w:rsidP="001E28BA">
      <w:pPr>
        <w:pStyle w:val="Lijstalinea"/>
        <w:ind w:left="0"/>
        <w:rPr>
          <w:b/>
          <w:u w:val="single"/>
        </w:rPr>
      </w:pPr>
      <w:r>
        <w:br/>
      </w:r>
      <w:r>
        <w:br w:type="page"/>
      </w:r>
      <w:r w:rsidRPr="0005089B">
        <w:rPr>
          <w:b/>
          <w:u w:val="single"/>
        </w:rPr>
        <w:lastRenderedPageBreak/>
        <w:t>Kathode /</w:t>
      </w:r>
      <w:proofErr w:type="gramStart"/>
      <w:r w:rsidRPr="0005089B">
        <w:rPr>
          <w:b/>
          <w:u w:val="single"/>
        </w:rPr>
        <w:t>MCP meetcircuit</w:t>
      </w:r>
      <w:proofErr w:type="gramEnd"/>
    </w:p>
    <w:p w:rsidR="00171EB7" w:rsidRPr="0005089B" w:rsidRDefault="00171EB7" w:rsidP="00171EB7">
      <w:pPr>
        <w:rPr>
          <w:b/>
          <w:u w:val="single"/>
        </w:rPr>
      </w:pPr>
    </w:p>
    <w:p w:rsidR="00171EB7" w:rsidRDefault="00171EB7" w:rsidP="001E28BA">
      <w:pPr>
        <w:pStyle w:val="Lijstalinea"/>
        <w:ind w:left="0"/>
      </w:pPr>
      <w:r>
        <w:t>Hiervoor geld bijna hetzelfde als voor de anode voeding, alleen de voltage coëfficiënt geeft een ander getal omdat de spanning lager is, namelijk 2KV i.p.v. 10KV</w:t>
      </w:r>
    </w:p>
    <w:p w:rsidR="00171EB7" w:rsidRDefault="00171EB7" w:rsidP="00171EB7">
      <w:pPr>
        <w:pStyle w:val="Lijstalinea"/>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1581"/>
        <w:gridCol w:w="1583"/>
      </w:tblGrid>
      <w:tr w:rsidR="00171EB7" w:rsidTr="001E28BA">
        <w:trPr>
          <w:jc w:val="center"/>
        </w:trPr>
        <w:tc>
          <w:tcPr>
            <w:tcW w:w="2532" w:type="dxa"/>
            <w:shd w:val="clear" w:color="auto" w:fill="auto"/>
          </w:tcPr>
          <w:p w:rsidR="00171EB7" w:rsidRPr="0005089B" w:rsidRDefault="00171EB7" w:rsidP="00E5496B">
            <w:pPr>
              <w:pStyle w:val="Lijstalinea"/>
              <w:ind w:left="0"/>
              <w:rPr>
                <w:b/>
              </w:rPr>
            </w:pPr>
            <w:proofErr w:type="gramStart"/>
            <w:r w:rsidRPr="0005089B">
              <w:rPr>
                <w:b/>
              </w:rPr>
              <w:t>Afwijking  Oorzaak</w:t>
            </w:r>
            <w:proofErr w:type="gramEnd"/>
          </w:p>
        </w:tc>
        <w:tc>
          <w:tcPr>
            <w:tcW w:w="1581" w:type="dxa"/>
            <w:shd w:val="clear" w:color="auto" w:fill="auto"/>
          </w:tcPr>
          <w:p w:rsidR="00171EB7" w:rsidRPr="0005089B" w:rsidRDefault="00171EB7" w:rsidP="00E5496B">
            <w:pPr>
              <w:pStyle w:val="Lijstalinea"/>
              <w:ind w:left="0"/>
              <w:rPr>
                <w:b/>
              </w:rPr>
            </w:pPr>
            <w:r w:rsidRPr="0005089B">
              <w:rPr>
                <w:b/>
              </w:rPr>
              <w:t xml:space="preserve">Afwijking voor </w:t>
            </w:r>
            <w:proofErr w:type="spellStart"/>
            <w:r w:rsidRPr="0005089B">
              <w:rPr>
                <w:b/>
              </w:rPr>
              <w:t>calibratie</w:t>
            </w:r>
            <w:proofErr w:type="spellEnd"/>
          </w:p>
        </w:tc>
        <w:tc>
          <w:tcPr>
            <w:tcW w:w="1583" w:type="dxa"/>
            <w:shd w:val="clear" w:color="auto" w:fill="auto"/>
          </w:tcPr>
          <w:p w:rsidR="00171EB7" w:rsidRPr="0005089B" w:rsidRDefault="00171EB7" w:rsidP="00E5496B">
            <w:pPr>
              <w:pStyle w:val="Lijstalinea"/>
              <w:ind w:left="0"/>
              <w:rPr>
                <w:b/>
              </w:rPr>
            </w:pPr>
            <w:r w:rsidRPr="0005089B">
              <w:rPr>
                <w:b/>
              </w:rPr>
              <w:t xml:space="preserve">Afwijking na </w:t>
            </w:r>
            <w:proofErr w:type="spellStart"/>
            <w:r w:rsidRPr="0005089B">
              <w:rPr>
                <w:b/>
              </w:rPr>
              <w:t>calibratie</w:t>
            </w:r>
            <w:proofErr w:type="spellEnd"/>
          </w:p>
        </w:tc>
      </w:tr>
      <w:tr w:rsidR="00171EB7" w:rsidTr="001E28BA">
        <w:trPr>
          <w:jc w:val="center"/>
        </w:trPr>
        <w:tc>
          <w:tcPr>
            <w:tcW w:w="2532" w:type="dxa"/>
            <w:shd w:val="clear" w:color="auto" w:fill="auto"/>
          </w:tcPr>
          <w:p w:rsidR="00171EB7" w:rsidRDefault="00171EB7" w:rsidP="00E5496B">
            <w:pPr>
              <w:pStyle w:val="Lijstalinea"/>
              <w:ind w:left="0"/>
            </w:pPr>
            <w:proofErr w:type="gramStart"/>
            <w:r>
              <w:t>HV spanningsdeler</w:t>
            </w:r>
            <w:proofErr w:type="gramEnd"/>
            <w:r>
              <w:t xml:space="preserve"> weerstandstolerantie</w:t>
            </w:r>
          </w:p>
        </w:tc>
        <w:tc>
          <w:tcPr>
            <w:tcW w:w="1581" w:type="dxa"/>
            <w:shd w:val="clear" w:color="auto" w:fill="auto"/>
          </w:tcPr>
          <w:p w:rsidR="00171EB7" w:rsidRDefault="00171EB7" w:rsidP="00E5496B">
            <w:pPr>
              <w:pStyle w:val="Lijstalinea"/>
              <w:ind w:left="0"/>
            </w:pPr>
            <w:r>
              <w:t>1.1%</w:t>
            </w:r>
          </w:p>
        </w:tc>
        <w:tc>
          <w:tcPr>
            <w:tcW w:w="1583" w:type="dxa"/>
            <w:shd w:val="clear" w:color="auto" w:fill="auto"/>
          </w:tcPr>
          <w:p w:rsidR="00171EB7" w:rsidRDefault="00171EB7" w:rsidP="00E5496B">
            <w:pPr>
              <w:pStyle w:val="Lijstalinea"/>
              <w:ind w:left="0"/>
            </w:pPr>
            <w:r>
              <w:t>0.5%</w:t>
            </w:r>
          </w:p>
        </w:tc>
      </w:tr>
      <w:tr w:rsidR="00171EB7" w:rsidTr="001E28BA">
        <w:trPr>
          <w:jc w:val="center"/>
        </w:trPr>
        <w:tc>
          <w:tcPr>
            <w:tcW w:w="2532" w:type="dxa"/>
            <w:shd w:val="clear" w:color="auto" w:fill="auto"/>
          </w:tcPr>
          <w:p w:rsidR="00171EB7" w:rsidRDefault="00171EB7" w:rsidP="00E5496B">
            <w:pPr>
              <w:pStyle w:val="Lijstalinea"/>
              <w:ind w:left="0"/>
            </w:pPr>
            <w:r>
              <w:t>Hoogspanningsweerstand voltage coëfficiënt</w:t>
            </w:r>
          </w:p>
        </w:tc>
        <w:tc>
          <w:tcPr>
            <w:tcW w:w="1581" w:type="dxa"/>
            <w:shd w:val="clear" w:color="auto" w:fill="auto"/>
          </w:tcPr>
          <w:p w:rsidR="00171EB7" w:rsidRDefault="00171EB7" w:rsidP="00E5496B">
            <w:pPr>
              <w:pStyle w:val="Lijstalinea"/>
              <w:ind w:left="0"/>
            </w:pPr>
            <w:r>
              <w:t>0.4%</w:t>
            </w:r>
          </w:p>
        </w:tc>
        <w:tc>
          <w:tcPr>
            <w:tcW w:w="1583" w:type="dxa"/>
            <w:shd w:val="clear" w:color="auto" w:fill="auto"/>
          </w:tcPr>
          <w:p w:rsidR="00171EB7" w:rsidRDefault="00171EB7" w:rsidP="00E5496B">
            <w:pPr>
              <w:pStyle w:val="Lijstalinea"/>
              <w:ind w:left="0"/>
            </w:pPr>
            <w:r>
              <w:t>0.2%</w:t>
            </w:r>
          </w:p>
        </w:tc>
      </w:tr>
      <w:tr w:rsidR="00171EB7" w:rsidTr="001E28BA">
        <w:trPr>
          <w:jc w:val="center"/>
        </w:trPr>
        <w:tc>
          <w:tcPr>
            <w:tcW w:w="2532" w:type="dxa"/>
            <w:shd w:val="clear" w:color="auto" w:fill="auto"/>
          </w:tcPr>
          <w:p w:rsidR="00171EB7" w:rsidRDefault="00171EB7" w:rsidP="00E5496B">
            <w:pPr>
              <w:pStyle w:val="Lijstalinea"/>
              <w:ind w:left="0"/>
            </w:pPr>
            <w:proofErr w:type="spellStart"/>
            <w:r w:rsidRPr="0042552A">
              <w:t>Opamp</w:t>
            </w:r>
            <w:proofErr w:type="spellEnd"/>
            <w:r w:rsidRPr="0042552A">
              <w:t xml:space="preserve"> offset</w:t>
            </w:r>
          </w:p>
        </w:tc>
        <w:tc>
          <w:tcPr>
            <w:tcW w:w="1581" w:type="dxa"/>
            <w:shd w:val="clear" w:color="auto" w:fill="auto"/>
          </w:tcPr>
          <w:p w:rsidR="00171EB7" w:rsidRDefault="00171EB7" w:rsidP="00E5496B">
            <w:pPr>
              <w:pStyle w:val="Lijstalinea"/>
              <w:ind w:left="0"/>
            </w:pPr>
            <w:r>
              <w:t>0.02%</w:t>
            </w:r>
          </w:p>
        </w:tc>
        <w:tc>
          <w:tcPr>
            <w:tcW w:w="1583" w:type="dxa"/>
            <w:shd w:val="clear" w:color="auto" w:fill="auto"/>
          </w:tcPr>
          <w:p w:rsidR="00171EB7" w:rsidRDefault="00171EB7" w:rsidP="00E5496B">
            <w:pPr>
              <w:pStyle w:val="Lijstalinea"/>
              <w:ind w:left="0"/>
            </w:pPr>
            <w:r>
              <w:t>0.01%</w:t>
            </w:r>
          </w:p>
        </w:tc>
      </w:tr>
      <w:tr w:rsidR="00171EB7" w:rsidTr="001E28BA">
        <w:trPr>
          <w:jc w:val="center"/>
        </w:trPr>
        <w:tc>
          <w:tcPr>
            <w:tcW w:w="2532" w:type="dxa"/>
            <w:shd w:val="clear" w:color="auto" w:fill="auto"/>
          </w:tcPr>
          <w:p w:rsidR="00171EB7" w:rsidRDefault="00171EB7" w:rsidP="00E5496B">
            <w:pPr>
              <w:pStyle w:val="Lijstalinea"/>
              <w:ind w:left="0"/>
            </w:pPr>
            <w:r w:rsidRPr="0042552A">
              <w:t xml:space="preserve">Voltage </w:t>
            </w:r>
            <w:proofErr w:type="spellStart"/>
            <w:r w:rsidRPr="0042552A">
              <w:t>reference</w:t>
            </w:r>
            <w:proofErr w:type="spellEnd"/>
          </w:p>
        </w:tc>
        <w:tc>
          <w:tcPr>
            <w:tcW w:w="1581" w:type="dxa"/>
            <w:shd w:val="clear" w:color="auto" w:fill="auto"/>
          </w:tcPr>
          <w:p w:rsidR="00171EB7" w:rsidRDefault="00171EB7" w:rsidP="00E5496B">
            <w:pPr>
              <w:pStyle w:val="Lijstalinea"/>
              <w:ind w:left="0"/>
            </w:pPr>
            <w:r>
              <w:t>0.2%</w:t>
            </w:r>
          </w:p>
        </w:tc>
        <w:tc>
          <w:tcPr>
            <w:tcW w:w="1583" w:type="dxa"/>
            <w:shd w:val="clear" w:color="auto" w:fill="auto"/>
          </w:tcPr>
          <w:p w:rsidR="00171EB7" w:rsidRDefault="00171EB7" w:rsidP="00E5496B">
            <w:pPr>
              <w:pStyle w:val="Lijstalinea"/>
              <w:ind w:left="0"/>
            </w:pPr>
            <w:r>
              <w:t>0.1%</w:t>
            </w:r>
          </w:p>
        </w:tc>
      </w:tr>
      <w:tr w:rsidR="00171EB7" w:rsidTr="001E28BA">
        <w:trPr>
          <w:jc w:val="center"/>
        </w:trPr>
        <w:tc>
          <w:tcPr>
            <w:tcW w:w="2532" w:type="dxa"/>
            <w:shd w:val="clear" w:color="auto" w:fill="auto"/>
          </w:tcPr>
          <w:p w:rsidR="00171EB7" w:rsidRDefault="00171EB7" w:rsidP="00E5496B">
            <w:pPr>
              <w:pStyle w:val="Lijstalinea"/>
              <w:ind w:left="0"/>
            </w:pPr>
            <w:r w:rsidRPr="0042552A">
              <w:t>ADC</w:t>
            </w:r>
          </w:p>
        </w:tc>
        <w:tc>
          <w:tcPr>
            <w:tcW w:w="1581" w:type="dxa"/>
            <w:shd w:val="clear" w:color="auto" w:fill="auto"/>
          </w:tcPr>
          <w:p w:rsidR="00171EB7" w:rsidRDefault="00171EB7" w:rsidP="00E5496B">
            <w:pPr>
              <w:pStyle w:val="Lijstalinea"/>
              <w:ind w:left="0"/>
            </w:pPr>
            <w:r>
              <w:t>0.4%</w:t>
            </w:r>
          </w:p>
        </w:tc>
        <w:tc>
          <w:tcPr>
            <w:tcW w:w="1583" w:type="dxa"/>
            <w:shd w:val="clear" w:color="auto" w:fill="auto"/>
          </w:tcPr>
          <w:p w:rsidR="00171EB7" w:rsidRDefault="00171EB7" w:rsidP="00E5496B">
            <w:pPr>
              <w:pStyle w:val="Lijstalinea"/>
              <w:ind w:left="0"/>
            </w:pPr>
            <w:r>
              <w:t>0.2%</w:t>
            </w:r>
          </w:p>
        </w:tc>
      </w:tr>
      <w:tr w:rsidR="00171EB7" w:rsidTr="001E28BA">
        <w:trPr>
          <w:jc w:val="center"/>
        </w:trPr>
        <w:tc>
          <w:tcPr>
            <w:tcW w:w="2532" w:type="dxa"/>
            <w:shd w:val="clear" w:color="auto" w:fill="auto"/>
          </w:tcPr>
          <w:p w:rsidR="00171EB7" w:rsidRDefault="00171EB7" w:rsidP="00E5496B">
            <w:pPr>
              <w:pStyle w:val="Lijstalinea"/>
              <w:ind w:left="0"/>
            </w:pPr>
          </w:p>
        </w:tc>
        <w:tc>
          <w:tcPr>
            <w:tcW w:w="1581" w:type="dxa"/>
            <w:shd w:val="clear" w:color="auto" w:fill="auto"/>
          </w:tcPr>
          <w:p w:rsidR="00171EB7" w:rsidRDefault="00171EB7" w:rsidP="00E5496B">
            <w:pPr>
              <w:pStyle w:val="Lijstalinea"/>
              <w:ind w:left="0"/>
            </w:pPr>
          </w:p>
        </w:tc>
        <w:tc>
          <w:tcPr>
            <w:tcW w:w="1583" w:type="dxa"/>
            <w:shd w:val="clear" w:color="auto" w:fill="auto"/>
          </w:tcPr>
          <w:p w:rsidR="00171EB7" w:rsidRDefault="00171EB7" w:rsidP="00E5496B">
            <w:pPr>
              <w:pStyle w:val="Lijstalinea"/>
              <w:ind w:left="0"/>
            </w:pPr>
          </w:p>
        </w:tc>
      </w:tr>
      <w:tr w:rsidR="00171EB7" w:rsidTr="001E28BA">
        <w:trPr>
          <w:jc w:val="center"/>
        </w:trPr>
        <w:tc>
          <w:tcPr>
            <w:tcW w:w="2532" w:type="dxa"/>
            <w:shd w:val="clear" w:color="auto" w:fill="auto"/>
          </w:tcPr>
          <w:p w:rsidR="00171EB7" w:rsidRPr="0005089B" w:rsidRDefault="00171EB7" w:rsidP="00E5496B">
            <w:pPr>
              <w:pStyle w:val="Lijstalinea"/>
              <w:ind w:left="0"/>
              <w:rPr>
                <w:b/>
              </w:rPr>
            </w:pPr>
            <w:r w:rsidRPr="0005089B">
              <w:rPr>
                <w:b/>
              </w:rPr>
              <w:t>Som</w:t>
            </w:r>
          </w:p>
        </w:tc>
        <w:tc>
          <w:tcPr>
            <w:tcW w:w="1581" w:type="dxa"/>
            <w:shd w:val="clear" w:color="auto" w:fill="auto"/>
          </w:tcPr>
          <w:p w:rsidR="00171EB7" w:rsidRPr="0005089B" w:rsidRDefault="00171EB7" w:rsidP="00E5496B">
            <w:pPr>
              <w:pStyle w:val="Lijstalinea"/>
              <w:ind w:left="0"/>
              <w:rPr>
                <w:b/>
                <w:u w:val="single"/>
              </w:rPr>
            </w:pPr>
            <w:r w:rsidRPr="0005089B">
              <w:rPr>
                <w:b/>
                <w:u w:val="single"/>
              </w:rPr>
              <w:t>2.12%</w:t>
            </w:r>
          </w:p>
        </w:tc>
        <w:tc>
          <w:tcPr>
            <w:tcW w:w="1583" w:type="dxa"/>
            <w:shd w:val="clear" w:color="auto" w:fill="auto"/>
          </w:tcPr>
          <w:p w:rsidR="00171EB7" w:rsidRPr="0005089B" w:rsidRDefault="00171EB7" w:rsidP="00E5496B">
            <w:pPr>
              <w:pStyle w:val="Lijstalinea"/>
              <w:ind w:left="0"/>
              <w:rPr>
                <w:b/>
                <w:u w:val="single"/>
              </w:rPr>
            </w:pPr>
            <w:r w:rsidRPr="0005089B">
              <w:rPr>
                <w:b/>
                <w:u w:val="single"/>
              </w:rPr>
              <w:t>1.01%</w:t>
            </w:r>
          </w:p>
        </w:tc>
      </w:tr>
    </w:tbl>
    <w:p w:rsidR="00171EB7" w:rsidRDefault="00171EB7" w:rsidP="00171EB7">
      <w:pPr>
        <w:pStyle w:val="Lijstalinea"/>
      </w:pPr>
    </w:p>
    <w:p w:rsidR="00171EB7" w:rsidRDefault="00171EB7" w:rsidP="00171EB7">
      <w:pPr>
        <w:pStyle w:val="Lijstalinea"/>
      </w:pPr>
    </w:p>
    <w:p w:rsidR="00171EB7" w:rsidRDefault="00171EB7" w:rsidP="00171EB7">
      <w:pPr>
        <w:rPr>
          <w:b/>
          <w:u w:val="single"/>
        </w:rPr>
      </w:pPr>
      <w:proofErr w:type="gramStart"/>
      <w:r w:rsidRPr="0005089B">
        <w:rPr>
          <w:b/>
          <w:u w:val="single"/>
        </w:rPr>
        <w:t>TESLA meetcircuit</w:t>
      </w:r>
      <w:proofErr w:type="gramEnd"/>
    </w:p>
    <w:p w:rsidR="00171EB7" w:rsidRPr="0005089B" w:rsidRDefault="00171EB7" w:rsidP="00171EB7">
      <w:pPr>
        <w:rPr>
          <w:b/>
          <w:u w:val="single"/>
        </w:rPr>
      </w:pPr>
    </w:p>
    <w:p w:rsidR="00171EB7" w:rsidRDefault="00171EB7" w:rsidP="001E28BA">
      <w:pPr>
        <w:pStyle w:val="Lijstalinea"/>
        <w:ind w:left="0"/>
      </w:pPr>
      <w:r>
        <w:t>Hiervoor geld ook bijna hetzelfde als voor de anode voeding, alleen de voltage coëfficiënt geeft een ander getal omdat de spanning lager is, namelijk 6KV i.p.v. 10KV</w:t>
      </w:r>
    </w:p>
    <w:p w:rsidR="00171EB7" w:rsidRDefault="00171EB7" w:rsidP="00171EB7">
      <w:pPr>
        <w:pStyle w:val="Lijstalinea"/>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1581"/>
        <w:gridCol w:w="1583"/>
      </w:tblGrid>
      <w:tr w:rsidR="00171EB7" w:rsidTr="001E28BA">
        <w:trPr>
          <w:jc w:val="center"/>
        </w:trPr>
        <w:tc>
          <w:tcPr>
            <w:tcW w:w="2532" w:type="dxa"/>
            <w:shd w:val="clear" w:color="auto" w:fill="auto"/>
          </w:tcPr>
          <w:p w:rsidR="00171EB7" w:rsidRPr="0005089B" w:rsidRDefault="00171EB7" w:rsidP="00E5496B">
            <w:pPr>
              <w:pStyle w:val="Lijstalinea"/>
              <w:ind w:left="0"/>
              <w:rPr>
                <w:b/>
              </w:rPr>
            </w:pPr>
            <w:proofErr w:type="gramStart"/>
            <w:r w:rsidRPr="0005089B">
              <w:rPr>
                <w:b/>
              </w:rPr>
              <w:t>Afwijking  Oorzaak</w:t>
            </w:r>
            <w:proofErr w:type="gramEnd"/>
          </w:p>
        </w:tc>
        <w:tc>
          <w:tcPr>
            <w:tcW w:w="1581" w:type="dxa"/>
            <w:shd w:val="clear" w:color="auto" w:fill="auto"/>
          </w:tcPr>
          <w:p w:rsidR="00171EB7" w:rsidRPr="0005089B" w:rsidRDefault="00171EB7" w:rsidP="00E5496B">
            <w:pPr>
              <w:pStyle w:val="Lijstalinea"/>
              <w:ind w:left="0"/>
              <w:rPr>
                <w:b/>
              </w:rPr>
            </w:pPr>
            <w:r w:rsidRPr="0005089B">
              <w:rPr>
                <w:b/>
              </w:rPr>
              <w:t xml:space="preserve">Afwijking voor </w:t>
            </w:r>
            <w:proofErr w:type="spellStart"/>
            <w:r w:rsidRPr="0005089B">
              <w:rPr>
                <w:b/>
              </w:rPr>
              <w:t>calibratie</w:t>
            </w:r>
            <w:proofErr w:type="spellEnd"/>
          </w:p>
        </w:tc>
        <w:tc>
          <w:tcPr>
            <w:tcW w:w="1583" w:type="dxa"/>
            <w:shd w:val="clear" w:color="auto" w:fill="auto"/>
          </w:tcPr>
          <w:p w:rsidR="00171EB7" w:rsidRPr="0005089B" w:rsidRDefault="00171EB7" w:rsidP="00E5496B">
            <w:pPr>
              <w:pStyle w:val="Lijstalinea"/>
              <w:ind w:left="0"/>
              <w:rPr>
                <w:b/>
              </w:rPr>
            </w:pPr>
            <w:r w:rsidRPr="0005089B">
              <w:rPr>
                <w:b/>
              </w:rPr>
              <w:t xml:space="preserve">Afwijking na </w:t>
            </w:r>
            <w:proofErr w:type="spellStart"/>
            <w:r w:rsidRPr="0005089B">
              <w:rPr>
                <w:b/>
              </w:rPr>
              <w:t>calibratie</w:t>
            </w:r>
            <w:proofErr w:type="spellEnd"/>
          </w:p>
        </w:tc>
      </w:tr>
      <w:tr w:rsidR="00171EB7" w:rsidTr="001E28BA">
        <w:trPr>
          <w:jc w:val="center"/>
        </w:trPr>
        <w:tc>
          <w:tcPr>
            <w:tcW w:w="2532" w:type="dxa"/>
            <w:shd w:val="clear" w:color="auto" w:fill="auto"/>
          </w:tcPr>
          <w:p w:rsidR="00171EB7" w:rsidRDefault="00171EB7" w:rsidP="00E5496B">
            <w:pPr>
              <w:pStyle w:val="Lijstalinea"/>
              <w:ind w:left="0"/>
            </w:pPr>
            <w:proofErr w:type="gramStart"/>
            <w:r>
              <w:t>HV spanningsdeler</w:t>
            </w:r>
            <w:proofErr w:type="gramEnd"/>
            <w:r>
              <w:t xml:space="preserve"> weerstandstolerantie</w:t>
            </w:r>
          </w:p>
        </w:tc>
        <w:tc>
          <w:tcPr>
            <w:tcW w:w="1581" w:type="dxa"/>
            <w:shd w:val="clear" w:color="auto" w:fill="auto"/>
          </w:tcPr>
          <w:p w:rsidR="00171EB7" w:rsidRDefault="00171EB7" w:rsidP="00E5496B">
            <w:pPr>
              <w:pStyle w:val="Lijstalinea"/>
              <w:ind w:left="0"/>
            </w:pPr>
            <w:r>
              <w:t>1.1%</w:t>
            </w:r>
          </w:p>
        </w:tc>
        <w:tc>
          <w:tcPr>
            <w:tcW w:w="1583" w:type="dxa"/>
            <w:shd w:val="clear" w:color="auto" w:fill="auto"/>
          </w:tcPr>
          <w:p w:rsidR="00171EB7" w:rsidRDefault="00171EB7" w:rsidP="00E5496B">
            <w:pPr>
              <w:pStyle w:val="Lijstalinea"/>
              <w:ind w:left="0"/>
            </w:pPr>
            <w:r>
              <w:t>0.5%</w:t>
            </w:r>
          </w:p>
        </w:tc>
      </w:tr>
      <w:tr w:rsidR="00171EB7" w:rsidTr="001E28BA">
        <w:trPr>
          <w:jc w:val="center"/>
        </w:trPr>
        <w:tc>
          <w:tcPr>
            <w:tcW w:w="2532" w:type="dxa"/>
            <w:shd w:val="clear" w:color="auto" w:fill="auto"/>
          </w:tcPr>
          <w:p w:rsidR="00171EB7" w:rsidRDefault="00171EB7" w:rsidP="00E5496B">
            <w:pPr>
              <w:pStyle w:val="Lijstalinea"/>
              <w:ind w:left="0"/>
            </w:pPr>
            <w:r>
              <w:t>Hoogspanningsweerstand voltage coëfficiënt</w:t>
            </w:r>
          </w:p>
        </w:tc>
        <w:tc>
          <w:tcPr>
            <w:tcW w:w="1581" w:type="dxa"/>
            <w:shd w:val="clear" w:color="auto" w:fill="auto"/>
          </w:tcPr>
          <w:p w:rsidR="00171EB7" w:rsidRDefault="00171EB7" w:rsidP="00E5496B">
            <w:pPr>
              <w:pStyle w:val="Lijstalinea"/>
              <w:ind w:left="0"/>
            </w:pPr>
            <w:r>
              <w:t>1.2%</w:t>
            </w:r>
          </w:p>
        </w:tc>
        <w:tc>
          <w:tcPr>
            <w:tcW w:w="1583" w:type="dxa"/>
            <w:shd w:val="clear" w:color="auto" w:fill="auto"/>
          </w:tcPr>
          <w:p w:rsidR="00171EB7" w:rsidRDefault="00171EB7" w:rsidP="00E5496B">
            <w:pPr>
              <w:pStyle w:val="Lijstalinea"/>
              <w:ind w:left="0"/>
            </w:pPr>
            <w:r>
              <w:t>0.6%</w:t>
            </w:r>
          </w:p>
        </w:tc>
      </w:tr>
      <w:tr w:rsidR="00171EB7" w:rsidTr="001E28BA">
        <w:trPr>
          <w:jc w:val="center"/>
        </w:trPr>
        <w:tc>
          <w:tcPr>
            <w:tcW w:w="2532" w:type="dxa"/>
            <w:shd w:val="clear" w:color="auto" w:fill="auto"/>
          </w:tcPr>
          <w:p w:rsidR="00171EB7" w:rsidRDefault="00171EB7" w:rsidP="00E5496B">
            <w:pPr>
              <w:pStyle w:val="Lijstalinea"/>
              <w:ind w:left="0"/>
            </w:pPr>
            <w:proofErr w:type="spellStart"/>
            <w:r w:rsidRPr="0042552A">
              <w:t>Opamp</w:t>
            </w:r>
            <w:proofErr w:type="spellEnd"/>
            <w:r w:rsidRPr="0042552A">
              <w:t xml:space="preserve"> offset</w:t>
            </w:r>
          </w:p>
        </w:tc>
        <w:tc>
          <w:tcPr>
            <w:tcW w:w="1581" w:type="dxa"/>
            <w:shd w:val="clear" w:color="auto" w:fill="auto"/>
          </w:tcPr>
          <w:p w:rsidR="00171EB7" w:rsidRDefault="00171EB7" w:rsidP="00E5496B">
            <w:pPr>
              <w:pStyle w:val="Lijstalinea"/>
              <w:ind w:left="0"/>
            </w:pPr>
            <w:r>
              <w:t>0.02%</w:t>
            </w:r>
          </w:p>
        </w:tc>
        <w:tc>
          <w:tcPr>
            <w:tcW w:w="1583" w:type="dxa"/>
            <w:shd w:val="clear" w:color="auto" w:fill="auto"/>
          </w:tcPr>
          <w:p w:rsidR="00171EB7" w:rsidRDefault="00171EB7" w:rsidP="00E5496B">
            <w:pPr>
              <w:pStyle w:val="Lijstalinea"/>
              <w:ind w:left="0"/>
            </w:pPr>
            <w:r>
              <w:t>0.01%</w:t>
            </w:r>
          </w:p>
        </w:tc>
      </w:tr>
      <w:tr w:rsidR="00171EB7" w:rsidTr="001E28BA">
        <w:trPr>
          <w:jc w:val="center"/>
        </w:trPr>
        <w:tc>
          <w:tcPr>
            <w:tcW w:w="2532" w:type="dxa"/>
            <w:shd w:val="clear" w:color="auto" w:fill="auto"/>
          </w:tcPr>
          <w:p w:rsidR="00171EB7" w:rsidRDefault="00171EB7" w:rsidP="00E5496B">
            <w:pPr>
              <w:pStyle w:val="Lijstalinea"/>
              <w:ind w:left="0"/>
            </w:pPr>
            <w:r w:rsidRPr="0042552A">
              <w:t xml:space="preserve">Voltage </w:t>
            </w:r>
            <w:proofErr w:type="spellStart"/>
            <w:r w:rsidRPr="0042552A">
              <w:t>reference</w:t>
            </w:r>
            <w:proofErr w:type="spellEnd"/>
          </w:p>
        </w:tc>
        <w:tc>
          <w:tcPr>
            <w:tcW w:w="1581" w:type="dxa"/>
            <w:shd w:val="clear" w:color="auto" w:fill="auto"/>
          </w:tcPr>
          <w:p w:rsidR="00171EB7" w:rsidRDefault="00171EB7" w:rsidP="00E5496B">
            <w:pPr>
              <w:pStyle w:val="Lijstalinea"/>
              <w:ind w:left="0"/>
            </w:pPr>
            <w:r>
              <w:t>0.2%</w:t>
            </w:r>
          </w:p>
        </w:tc>
        <w:tc>
          <w:tcPr>
            <w:tcW w:w="1583" w:type="dxa"/>
            <w:shd w:val="clear" w:color="auto" w:fill="auto"/>
          </w:tcPr>
          <w:p w:rsidR="00171EB7" w:rsidRDefault="00171EB7" w:rsidP="00E5496B">
            <w:pPr>
              <w:pStyle w:val="Lijstalinea"/>
              <w:ind w:left="0"/>
            </w:pPr>
            <w:r>
              <w:t>0.1%</w:t>
            </w:r>
          </w:p>
        </w:tc>
      </w:tr>
      <w:tr w:rsidR="00171EB7" w:rsidTr="001E28BA">
        <w:trPr>
          <w:jc w:val="center"/>
        </w:trPr>
        <w:tc>
          <w:tcPr>
            <w:tcW w:w="2532" w:type="dxa"/>
            <w:shd w:val="clear" w:color="auto" w:fill="auto"/>
          </w:tcPr>
          <w:p w:rsidR="00171EB7" w:rsidRDefault="00171EB7" w:rsidP="00E5496B">
            <w:pPr>
              <w:pStyle w:val="Lijstalinea"/>
              <w:ind w:left="0"/>
            </w:pPr>
            <w:r w:rsidRPr="0042552A">
              <w:t>ADC</w:t>
            </w:r>
          </w:p>
        </w:tc>
        <w:tc>
          <w:tcPr>
            <w:tcW w:w="1581" w:type="dxa"/>
            <w:shd w:val="clear" w:color="auto" w:fill="auto"/>
          </w:tcPr>
          <w:p w:rsidR="00171EB7" w:rsidRDefault="00171EB7" w:rsidP="00E5496B">
            <w:pPr>
              <w:pStyle w:val="Lijstalinea"/>
              <w:ind w:left="0"/>
            </w:pPr>
            <w:r>
              <w:t>0.4%</w:t>
            </w:r>
          </w:p>
        </w:tc>
        <w:tc>
          <w:tcPr>
            <w:tcW w:w="1583" w:type="dxa"/>
            <w:shd w:val="clear" w:color="auto" w:fill="auto"/>
          </w:tcPr>
          <w:p w:rsidR="00171EB7" w:rsidRDefault="00171EB7" w:rsidP="00E5496B">
            <w:pPr>
              <w:pStyle w:val="Lijstalinea"/>
              <w:ind w:left="0"/>
            </w:pPr>
            <w:r>
              <w:t>0.2%</w:t>
            </w:r>
          </w:p>
        </w:tc>
      </w:tr>
      <w:tr w:rsidR="00171EB7" w:rsidTr="001E28BA">
        <w:trPr>
          <w:jc w:val="center"/>
        </w:trPr>
        <w:tc>
          <w:tcPr>
            <w:tcW w:w="2532" w:type="dxa"/>
            <w:shd w:val="clear" w:color="auto" w:fill="auto"/>
          </w:tcPr>
          <w:p w:rsidR="00171EB7" w:rsidRDefault="00171EB7" w:rsidP="00E5496B">
            <w:pPr>
              <w:pStyle w:val="Lijstalinea"/>
              <w:ind w:left="0"/>
            </w:pPr>
          </w:p>
        </w:tc>
        <w:tc>
          <w:tcPr>
            <w:tcW w:w="1581" w:type="dxa"/>
            <w:shd w:val="clear" w:color="auto" w:fill="auto"/>
          </w:tcPr>
          <w:p w:rsidR="00171EB7" w:rsidRDefault="00171EB7" w:rsidP="00E5496B">
            <w:pPr>
              <w:pStyle w:val="Lijstalinea"/>
              <w:ind w:left="0"/>
            </w:pPr>
          </w:p>
        </w:tc>
        <w:tc>
          <w:tcPr>
            <w:tcW w:w="1583" w:type="dxa"/>
            <w:shd w:val="clear" w:color="auto" w:fill="auto"/>
          </w:tcPr>
          <w:p w:rsidR="00171EB7" w:rsidRDefault="00171EB7" w:rsidP="00E5496B">
            <w:pPr>
              <w:pStyle w:val="Lijstalinea"/>
              <w:ind w:left="0"/>
            </w:pPr>
          </w:p>
        </w:tc>
      </w:tr>
      <w:tr w:rsidR="00171EB7" w:rsidTr="001E28BA">
        <w:trPr>
          <w:jc w:val="center"/>
        </w:trPr>
        <w:tc>
          <w:tcPr>
            <w:tcW w:w="2532" w:type="dxa"/>
            <w:shd w:val="clear" w:color="auto" w:fill="auto"/>
          </w:tcPr>
          <w:p w:rsidR="00171EB7" w:rsidRPr="0005089B" w:rsidRDefault="00171EB7" w:rsidP="00E5496B">
            <w:pPr>
              <w:pStyle w:val="Lijstalinea"/>
              <w:ind w:left="0"/>
              <w:rPr>
                <w:b/>
              </w:rPr>
            </w:pPr>
            <w:r w:rsidRPr="0005089B">
              <w:rPr>
                <w:b/>
              </w:rPr>
              <w:t>Som</w:t>
            </w:r>
          </w:p>
        </w:tc>
        <w:tc>
          <w:tcPr>
            <w:tcW w:w="1581" w:type="dxa"/>
            <w:shd w:val="clear" w:color="auto" w:fill="auto"/>
          </w:tcPr>
          <w:p w:rsidR="00171EB7" w:rsidRPr="0005089B" w:rsidRDefault="00171EB7" w:rsidP="00E5496B">
            <w:pPr>
              <w:pStyle w:val="Lijstalinea"/>
              <w:ind w:left="0"/>
              <w:rPr>
                <w:b/>
                <w:u w:val="single"/>
              </w:rPr>
            </w:pPr>
            <w:r w:rsidRPr="0005089B">
              <w:rPr>
                <w:b/>
                <w:u w:val="single"/>
              </w:rPr>
              <w:t>2.92%</w:t>
            </w:r>
          </w:p>
        </w:tc>
        <w:tc>
          <w:tcPr>
            <w:tcW w:w="1583" w:type="dxa"/>
            <w:shd w:val="clear" w:color="auto" w:fill="auto"/>
          </w:tcPr>
          <w:p w:rsidR="00171EB7" w:rsidRPr="0005089B" w:rsidRDefault="00171EB7" w:rsidP="00E5496B">
            <w:pPr>
              <w:pStyle w:val="Lijstalinea"/>
              <w:ind w:left="0"/>
              <w:rPr>
                <w:b/>
                <w:u w:val="single"/>
              </w:rPr>
            </w:pPr>
            <w:r w:rsidRPr="0005089B">
              <w:rPr>
                <w:b/>
                <w:u w:val="single"/>
              </w:rPr>
              <w:t>1.41%</w:t>
            </w:r>
          </w:p>
        </w:tc>
      </w:tr>
    </w:tbl>
    <w:p w:rsidR="00171EB7" w:rsidRDefault="00171EB7" w:rsidP="00171EB7">
      <w:pPr>
        <w:pStyle w:val="Lijstalinea"/>
      </w:pPr>
    </w:p>
    <w:p w:rsidR="00171EB7" w:rsidRDefault="00171EB7" w:rsidP="00171EB7">
      <w:pPr>
        <w:pStyle w:val="Lijstalinea"/>
        <w:ind w:left="0"/>
        <w:rPr>
          <w:b/>
          <w:u w:val="single"/>
        </w:rPr>
      </w:pPr>
      <w:r w:rsidRPr="0005089B">
        <w:rPr>
          <w:b/>
          <w:u w:val="single"/>
        </w:rPr>
        <w:t>Conclusie</w:t>
      </w:r>
    </w:p>
    <w:p w:rsidR="00A523C6" w:rsidRPr="0005089B" w:rsidRDefault="00A523C6" w:rsidP="00171EB7">
      <w:pPr>
        <w:pStyle w:val="Lijstalinea"/>
        <w:ind w:left="0"/>
        <w:rPr>
          <w:b/>
          <w:u w:val="single"/>
        </w:rPr>
      </w:pPr>
    </w:p>
    <w:p w:rsidR="00171EB7" w:rsidRPr="002920DE" w:rsidRDefault="00171EB7" w:rsidP="00A523C6">
      <w:pPr>
        <w:pStyle w:val="Lijstalinea"/>
        <w:ind w:left="0"/>
      </w:pPr>
      <w:proofErr w:type="gramStart"/>
      <w:r>
        <w:t>voor</w:t>
      </w:r>
      <w:proofErr w:type="gramEnd"/>
      <w:r>
        <w:t xml:space="preserve"> de meetnauwkeurigheid is het niet nodig om te kalibreren maar een periodieke check is wel aan te bevelen omdat een hele kleine lekstroom al behoorlijke invloed heeft.</w:t>
      </w:r>
    </w:p>
    <w:sectPr w:rsidR="00171EB7" w:rsidRPr="002920DE" w:rsidSect="00996275">
      <w:headerReference w:type="default" r:id="rId8"/>
      <w:footerReference w:type="default" r:id="rId9"/>
      <w:headerReference w:type="first" r:id="rId10"/>
      <w:pgSz w:w="11906" w:h="16838"/>
      <w:pgMar w:top="1152" w:right="1152" w:bottom="1152"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7966" w:rsidRDefault="00497966" w:rsidP="00820FC5">
      <w:pPr>
        <w:spacing w:line="240" w:lineRule="auto"/>
      </w:pPr>
      <w:r>
        <w:separator/>
      </w:r>
    </w:p>
  </w:endnote>
  <w:endnote w:type="continuationSeparator" w:id="0">
    <w:p w:rsidR="00497966" w:rsidRDefault="00497966" w:rsidP="00820F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2E6" w:rsidRDefault="009053EB" w:rsidP="004C4135">
    <w:pPr>
      <w:pStyle w:val="Voettekst"/>
      <w:tabs>
        <w:tab w:val="clear" w:pos="4703"/>
        <w:tab w:val="clear" w:pos="9406"/>
        <w:tab w:val="right" w:pos="9602"/>
      </w:tabs>
      <w:jc w:val="both"/>
    </w:pPr>
    <w:r>
      <w:tab/>
    </w:r>
    <w:r w:rsidR="001712E6">
      <w:fldChar w:fldCharType="begin"/>
    </w:r>
    <w:r w:rsidR="001712E6">
      <w:instrText>PAGE   \* MERGEFORMAT</w:instrText>
    </w:r>
    <w:r w:rsidR="001712E6">
      <w:fldChar w:fldCharType="separate"/>
    </w:r>
    <w:r w:rsidR="00A523C6">
      <w:rPr>
        <w:noProof/>
      </w:rPr>
      <w:t>3</w:t>
    </w:r>
    <w:r w:rsidR="001712E6">
      <w:fldChar w:fldCharType="end"/>
    </w:r>
    <w:r w:rsidR="001712E6">
      <w:t>/</w:t>
    </w:r>
    <w:r w:rsidR="00497966">
      <w:fldChar w:fldCharType="begin"/>
    </w:r>
    <w:r w:rsidR="00497966">
      <w:instrText xml:space="preserve"> NUMPAGES   \* MERGEFORMAT </w:instrText>
    </w:r>
    <w:r w:rsidR="00497966">
      <w:fldChar w:fldCharType="separate"/>
    </w:r>
    <w:r w:rsidR="00A523C6">
      <w:rPr>
        <w:noProof/>
      </w:rPr>
      <w:t>3</w:t>
    </w:r>
    <w:r w:rsidR="00497966">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7966" w:rsidRDefault="00497966" w:rsidP="00820FC5">
      <w:pPr>
        <w:spacing w:line="240" w:lineRule="auto"/>
      </w:pPr>
      <w:r>
        <w:separator/>
      </w:r>
    </w:p>
  </w:footnote>
  <w:footnote w:type="continuationSeparator" w:id="0">
    <w:p w:rsidR="00497966" w:rsidRDefault="00497966" w:rsidP="00820F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5"/>
      <w:gridCol w:w="2436"/>
      <w:gridCol w:w="6661"/>
    </w:tblGrid>
    <w:tr w:rsidR="004C574B" w:rsidRPr="006108EF" w:rsidTr="00C269BB">
      <w:trPr>
        <w:trHeight w:hRule="exact" w:val="461"/>
      </w:trPr>
      <w:tc>
        <w:tcPr>
          <w:tcW w:w="200" w:type="pct"/>
          <w:tcBorders>
            <w:bottom w:val="single" w:sz="4" w:space="0" w:color="7F7F7F" w:themeColor="text1" w:themeTint="80"/>
          </w:tcBorders>
          <w:tcMar>
            <w:left w:w="0" w:type="dxa"/>
            <w:right w:w="115" w:type="dxa"/>
          </w:tcMar>
          <w:vAlign w:val="center"/>
        </w:tcPr>
        <w:p w:rsidR="00B640B5" w:rsidRDefault="004C574B" w:rsidP="004C574B">
          <w:pPr>
            <w:pStyle w:val="Koptekst"/>
          </w:pPr>
          <w:r>
            <w:rPr>
              <w:noProof/>
              <w:lang w:val="en-US"/>
            </w:rPr>
            <w:drawing>
              <wp:inline distT="0" distB="0" distL="0" distR="0">
                <wp:extent cx="239037" cy="240030"/>
                <wp:effectExtent l="0" t="0" r="8890" b="762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Key logo small RGB.png"/>
                        <pic:cNvPicPr/>
                      </pic:nvPicPr>
                      <pic:blipFill>
                        <a:blip r:embed="rId1">
                          <a:extLst>
                            <a:ext uri="{28A0092B-C50C-407E-A947-70E740481C1C}">
                              <a14:useLocalDpi xmlns:a14="http://schemas.microsoft.com/office/drawing/2010/main" val="0"/>
                            </a:ext>
                          </a:extLst>
                        </a:blip>
                        <a:stretch>
                          <a:fillRect/>
                        </a:stretch>
                      </pic:blipFill>
                      <pic:spPr>
                        <a:xfrm>
                          <a:off x="0" y="0"/>
                          <a:ext cx="287316" cy="288510"/>
                        </a:xfrm>
                        <a:prstGeom prst="rect">
                          <a:avLst/>
                        </a:prstGeom>
                      </pic:spPr>
                    </pic:pic>
                  </a:graphicData>
                </a:graphic>
              </wp:inline>
            </w:drawing>
          </w:r>
        </w:p>
      </w:tc>
      <w:tc>
        <w:tcPr>
          <w:tcW w:w="1300" w:type="pct"/>
          <w:tcBorders>
            <w:bottom w:val="single" w:sz="4" w:space="0" w:color="7F7F7F" w:themeColor="text1" w:themeTint="80"/>
          </w:tcBorders>
          <w:vAlign w:val="center"/>
        </w:tcPr>
        <w:p w:rsidR="00627058" w:rsidRPr="006A4554" w:rsidRDefault="00627058" w:rsidP="006A4554">
          <w:pPr>
            <w:pStyle w:val="Koptekst"/>
          </w:pPr>
          <w:r w:rsidRPr="006A4554">
            <w:t>Micro-Key bv</w:t>
          </w:r>
        </w:p>
      </w:tc>
      <w:tc>
        <w:tcPr>
          <w:tcW w:w="3500" w:type="pct"/>
          <w:tcBorders>
            <w:bottom w:val="single" w:sz="4" w:space="0" w:color="7F7F7F" w:themeColor="text1" w:themeTint="80"/>
          </w:tcBorders>
          <w:vAlign w:val="center"/>
        </w:tcPr>
        <w:p w:rsidR="00627058" w:rsidRPr="006108EF" w:rsidRDefault="00497966" w:rsidP="00C269BB">
          <w:pPr>
            <w:pStyle w:val="Koptekst"/>
            <w:jc w:val="right"/>
            <w:rPr>
              <w:color w:val="595959" w:themeColor="text1" w:themeTint="A6"/>
              <w:lang w:val="en-US"/>
            </w:rPr>
          </w:pPr>
          <w:r>
            <w:fldChar w:fldCharType="begin"/>
          </w:r>
          <w:r>
            <w:instrText xml:space="preserve"> DOCPROPERTY  "Document number"  \* MERGEFORMAT </w:instrText>
          </w:r>
          <w:r>
            <w:fldChar w:fldCharType="separate"/>
          </w:r>
          <w:r w:rsidR="00A523C6">
            <w:t>PHO-0387-A0-2-1</w:t>
          </w:r>
          <w:r>
            <w:fldChar w:fldCharType="end"/>
          </w:r>
          <w:r w:rsidR="004C574B" w:rsidRPr="006108EF">
            <w:t>-</w:t>
          </w:r>
          <w:r>
            <w:fldChar w:fldCharType="begin"/>
          </w:r>
          <w:r>
            <w:instrText xml:space="preserve"> DOCPROPERTY  Revision  \* MERGEFORMAT </w:instrText>
          </w:r>
          <w:r>
            <w:fldChar w:fldCharType="separate"/>
          </w:r>
          <w:r w:rsidR="00A523C6">
            <w:t>001</w:t>
          </w:r>
          <w:r>
            <w:fldChar w:fldCharType="end"/>
          </w:r>
        </w:p>
      </w:tc>
    </w:tr>
  </w:tbl>
  <w:p w:rsidR="00627058" w:rsidRPr="006108EF" w:rsidRDefault="00627058">
    <w:pPr>
      <w:pStyle w:val="Koptekst"/>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5"/>
      <w:gridCol w:w="2435"/>
      <w:gridCol w:w="6662"/>
    </w:tblGrid>
    <w:tr w:rsidR="00613E3A" w:rsidRPr="006108EF" w:rsidTr="00456314">
      <w:trPr>
        <w:trHeight w:hRule="exact" w:val="461"/>
      </w:trPr>
      <w:tc>
        <w:tcPr>
          <w:tcW w:w="263" w:type="pct"/>
          <w:tcBorders>
            <w:bottom w:val="single" w:sz="4" w:space="0" w:color="7F7F7F" w:themeColor="text1" w:themeTint="80"/>
          </w:tcBorders>
          <w:tcMar>
            <w:left w:w="0" w:type="dxa"/>
            <w:right w:w="115" w:type="dxa"/>
          </w:tcMar>
          <w:vAlign w:val="center"/>
        </w:tcPr>
        <w:p w:rsidR="00613E3A" w:rsidRDefault="00613E3A" w:rsidP="00613E3A">
          <w:pPr>
            <w:pStyle w:val="Koptekst"/>
          </w:pPr>
          <w:r>
            <w:rPr>
              <w:noProof/>
              <w:lang w:val="en-US"/>
            </w:rPr>
            <w:drawing>
              <wp:inline distT="0" distB="0" distL="0" distR="0" wp14:anchorId="12F0A48F" wp14:editId="34E5C04A">
                <wp:extent cx="239037" cy="240030"/>
                <wp:effectExtent l="0" t="0" r="8890" b="762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Key logo small RGB.png"/>
                        <pic:cNvPicPr/>
                      </pic:nvPicPr>
                      <pic:blipFill>
                        <a:blip r:embed="rId1">
                          <a:extLst>
                            <a:ext uri="{28A0092B-C50C-407E-A947-70E740481C1C}">
                              <a14:useLocalDpi xmlns:a14="http://schemas.microsoft.com/office/drawing/2010/main" val="0"/>
                            </a:ext>
                          </a:extLst>
                        </a:blip>
                        <a:stretch>
                          <a:fillRect/>
                        </a:stretch>
                      </pic:blipFill>
                      <pic:spPr>
                        <a:xfrm>
                          <a:off x="0" y="0"/>
                          <a:ext cx="287316" cy="288510"/>
                        </a:xfrm>
                        <a:prstGeom prst="rect">
                          <a:avLst/>
                        </a:prstGeom>
                      </pic:spPr>
                    </pic:pic>
                  </a:graphicData>
                </a:graphic>
              </wp:inline>
            </w:drawing>
          </w:r>
        </w:p>
      </w:tc>
      <w:tc>
        <w:tcPr>
          <w:tcW w:w="1268" w:type="pct"/>
          <w:tcBorders>
            <w:bottom w:val="single" w:sz="4" w:space="0" w:color="7F7F7F" w:themeColor="text1" w:themeTint="80"/>
          </w:tcBorders>
          <w:vAlign w:val="center"/>
        </w:tcPr>
        <w:p w:rsidR="00613E3A" w:rsidRPr="006A4554" w:rsidRDefault="00613E3A" w:rsidP="00613E3A">
          <w:pPr>
            <w:pStyle w:val="Koptekst"/>
          </w:pPr>
          <w:r w:rsidRPr="006A4554">
            <w:t>Micro-Key bv</w:t>
          </w:r>
        </w:p>
      </w:tc>
      <w:tc>
        <w:tcPr>
          <w:tcW w:w="3469" w:type="pct"/>
          <w:tcBorders>
            <w:bottom w:val="single" w:sz="4" w:space="0" w:color="7F7F7F" w:themeColor="text1" w:themeTint="80"/>
          </w:tcBorders>
          <w:vAlign w:val="center"/>
        </w:tcPr>
        <w:p w:rsidR="00613E3A" w:rsidRPr="006108EF" w:rsidRDefault="00497966" w:rsidP="00613E3A">
          <w:pPr>
            <w:pStyle w:val="Koptekst"/>
            <w:jc w:val="right"/>
            <w:rPr>
              <w:color w:val="595959" w:themeColor="text1" w:themeTint="A6"/>
              <w:lang w:val="en-US"/>
            </w:rPr>
          </w:pPr>
          <w:r>
            <w:fldChar w:fldCharType="begin"/>
          </w:r>
          <w:r>
            <w:instrText xml:space="preserve"> DOCPROPERTY  "Document number"  \* MERGEFORMAT </w:instrText>
          </w:r>
          <w:r>
            <w:fldChar w:fldCharType="separate"/>
          </w:r>
          <w:r w:rsidR="00A523C6">
            <w:t>PHO-0387-A0-2-1</w:t>
          </w:r>
          <w:r>
            <w:fldChar w:fldCharType="end"/>
          </w:r>
          <w:r w:rsidR="00613E3A" w:rsidRPr="006108EF">
            <w:t>-</w:t>
          </w:r>
          <w:r w:rsidR="00895D40">
            <w:fldChar w:fldCharType="begin"/>
          </w:r>
          <w:r w:rsidR="00895D40">
            <w:instrText xml:space="preserve"> DOCPROPERTY  Revision  \* MERGEFORMAT </w:instrText>
          </w:r>
          <w:r w:rsidR="00895D40">
            <w:fldChar w:fldCharType="separate"/>
          </w:r>
          <w:r w:rsidR="00A523C6">
            <w:t>001</w:t>
          </w:r>
          <w:r w:rsidR="00895D40">
            <w:fldChar w:fldCharType="end"/>
          </w:r>
        </w:p>
      </w:tc>
    </w:tr>
  </w:tbl>
  <w:p w:rsidR="00613E3A" w:rsidRDefault="00613E3A">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1BC82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A1A896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4987E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3C8F428"/>
    <w:lvl w:ilvl="0">
      <w:start w:val="1"/>
      <w:numFmt w:val="lowerLetter"/>
      <w:pStyle w:val="Lijstnummering2"/>
      <w:lvlText w:val="%1."/>
      <w:lvlJc w:val="left"/>
      <w:pPr>
        <w:ind w:left="810" w:hanging="360"/>
      </w:pPr>
    </w:lvl>
  </w:abstractNum>
  <w:abstractNum w:abstractNumId="4" w15:restartNumberingAfterBreak="0">
    <w:nsid w:val="FFFFFF80"/>
    <w:multiLevelType w:val="singleLevel"/>
    <w:tmpl w:val="9C2A666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698616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95AE6E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EE0B52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71AE25C"/>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8B9414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B14F84"/>
    <w:multiLevelType w:val="multilevel"/>
    <w:tmpl w:val="B87C0942"/>
    <w:styleLink w:val="ListstyleMK"/>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19124D1"/>
    <w:multiLevelType w:val="hybridMultilevel"/>
    <w:tmpl w:val="383CCF7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428931D9"/>
    <w:multiLevelType w:val="hybridMultilevel"/>
    <w:tmpl w:val="42D678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38A2373"/>
    <w:multiLevelType w:val="hybridMultilevel"/>
    <w:tmpl w:val="4622F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F0F5206"/>
    <w:multiLevelType w:val="hybridMultilevel"/>
    <w:tmpl w:val="51E8923C"/>
    <w:lvl w:ilvl="0" w:tplc="212E6A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7E2E49"/>
    <w:multiLevelType w:val="hybridMultilevel"/>
    <w:tmpl w:val="A9FCA58E"/>
    <w:lvl w:ilvl="0" w:tplc="D9C84AE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3"/>
  </w:num>
  <w:num w:numId="4">
    <w:abstractNumId w:val="15"/>
  </w:num>
  <w:num w:numId="5">
    <w:abstractNumId w:val="8"/>
    <w:lvlOverride w:ilvl="0">
      <w:startOverride w:val="1"/>
    </w:lvlOverride>
  </w:num>
  <w:num w:numId="6">
    <w:abstractNumId w:val="8"/>
    <w:lvlOverride w:ilvl="0">
      <w:startOverride w:val="1"/>
    </w:lvlOverride>
  </w:num>
  <w:num w:numId="7">
    <w:abstractNumId w:val="8"/>
    <w:lvlOverride w:ilvl="0">
      <w:startOverride w:val="1"/>
    </w:lvlOverride>
  </w:num>
  <w:num w:numId="8">
    <w:abstractNumId w:val="8"/>
    <w:lvlOverride w:ilvl="0">
      <w:startOverride w:val="1"/>
    </w:lvlOverride>
  </w:num>
  <w:num w:numId="9">
    <w:abstractNumId w:val="3"/>
    <w:lvlOverride w:ilvl="0">
      <w:startOverride w:val="1"/>
    </w:lvlOverride>
  </w:num>
  <w:num w:numId="10">
    <w:abstractNumId w:val="8"/>
    <w:lvlOverride w:ilvl="0">
      <w:startOverride w:val="1"/>
    </w:lvlOverride>
  </w:num>
  <w:num w:numId="11">
    <w:abstractNumId w:val="3"/>
    <w:lvlOverride w:ilvl="0">
      <w:startOverride w:val="1"/>
    </w:lvlOverride>
  </w:num>
  <w:num w:numId="12">
    <w:abstractNumId w:val="8"/>
    <w:lvlOverride w:ilvl="0">
      <w:startOverride w:val="1"/>
    </w:lvlOverride>
  </w:num>
  <w:num w:numId="13">
    <w:abstractNumId w:val="3"/>
    <w:lvlOverride w:ilvl="0">
      <w:startOverride w:val="1"/>
    </w:lvlOverride>
  </w:num>
  <w:num w:numId="14">
    <w:abstractNumId w:val="9"/>
  </w:num>
  <w:num w:numId="15">
    <w:abstractNumId w:val="7"/>
  </w:num>
  <w:num w:numId="16">
    <w:abstractNumId w:val="6"/>
  </w:num>
  <w:num w:numId="17">
    <w:abstractNumId w:val="5"/>
  </w:num>
  <w:num w:numId="18">
    <w:abstractNumId w:val="4"/>
  </w:num>
  <w:num w:numId="19">
    <w:abstractNumId w:val="2"/>
  </w:num>
  <w:num w:numId="20">
    <w:abstractNumId w:val="1"/>
  </w:num>
  <w:num w:numId="21">
    <w:abstractNumId w:val="0"/>
  </w:num>
  <w:num w:numId="22">
    <w:abstractNumId w:val="8"/>
    <w:lvlOverride w:ilvl="0">
      <w:startOverride w:val="1"/>
    </w:lvlOverride>
  </w:num>
  <w:num w:numId="23">
    <w:abstractNumId w:val="3"/>
    <w:lvlOverride w:ilvl="0">
      <w:startOverride w:val="1"/>
    </w:lvlOverride>
  </w:num>
  <w:num w:numId="24">
    <w:abstractNumId w:val="3"/>
    <w:lvlOverride w:ilvl="0">
      <w:startOverride w:val="1"/>
    </w:lvlOverride>
  </w:num>
  <w:num w:numId="25">
    <w:abstractNumId w:val="8"/>
    <w:lvlOverride w:ilvl="0">
      <w:startOverride w:val="1"/>
    </w:lvlOverride>
  </w:num>
  <w:num w:numId="26">
    <w:abstractNumId w:val="14"/>
  </w:num>
  <w:num w:numId="27">
    <w:abstractNumId w:val="8"/>
    <w:lvlOverride w:ilvl="0">
      <w:startOverride w:val="1"/>
    </w:lvlOverride>
  </w:num>
  <w:num w:numId="28">
    <w:abstractNumId w:val="3"/>
    <w:lvlOverride w:ilvl="0">
      <w:startOverride w:val="1"/>
    </w:lvlOverride>
  </w:num>
  <w:num w:numId="29">
    <w:abstractNumId w:val="3"/>
    <w:lvlOverride w:ilvl="0">
      <w:startOverride w:val="1"/>
    </w:lvlOverride>
  </w:num>
  <w:num w:numId="30">
    <w:abstractNumId w:val="3"/>
    <w:lvlOverride w:ilvl="0">
      <w:startOverride w:val="1"/>
    </w:lvlOverride>
  </w:num>
  <w:num w:numId="31">
    <w:abstractNumId w:val="8"/>
    <w:lvlOverride w:ilvl="0">
      <w:startOverride w:val="1"/>
    </w:lvlOverride>
  </w:num>
  <w:num w:numId="32">
    <w:abstractNumId w:val="3"/>
    <w:lvlOverride w:ilvl="0">
      <w:startOverride w:val="1"/>
    </w:lvlOverride>
  </w:num>
  <w:num w:numId="33">
    <w:abstractNumId w:val="3"/>
    <w:lvlOverride w:ilvl="0">
      <w:startOverride w:val="1"/>
    </w:lvlOverride>
  </w:num>
  <w:num w:numId="34">
    <w:abstractNumId w:val="3"/>
    <w:lvlOverride w:ilvl="0">
      <w:startOverride w:val="1"/>
    </w:lvlOverride>
  </w:num>
  <w:num w:numId="35">
    <w:abstractNumId w:val="3"/>
    <w:lvlOverride w:ilvl="0">
      <w:startOverride w:val="1"/>
    </w:lvlOverride>
  </w:num>
  <w:num w:numId="36">
    <w:abstractNumId w:val="3"/>
  </w:num>
  <w:num w:numId="37">
    <w:abstractNumId w:val="3"/>
  </w:num>
  <w:num w:numId="38">
    <w:abstractNumId w:val="3"/>
    <w:lvlOverride w:ilvl="0">
      <w:startOverride w:val="1"/>
    </w:lvlOverride>
  </w:num>
  <w:num w:numId="39">
    <w:abstractNumId w:val="8"/>
    <w:lvlOverride w:ilvl="0">
      <w:startOverride w:val="1"/>
    </w:lvlOverride>
  </w:num>
  <w:num w:numId="40">
    <w:abstractNumId w:val="8"/>
    <w:lvlOverride w:ilvl="0">
      <w:startOverride w:val="1"/>
    </w:lvlOverride>
  </w:num>
  <w:num w:numId="41">
    <w:abstractNumId w:val="8"/>
    <w:lvlOverride w:ilvl="0">
      <w:startOverride w:val="1"/>
    </w:lvlOverride>
  </w:num>
  <w:num w:numId="42">
    <w:abstractNumId w:val="8"/>
    <w:lvlOverride w:ilvl="0">
      <w:startOverride w:val="1"/>
    </w:lvlOverride>
  </w:num>
  <w:num w:numId="43">
    <w:abstractNumId w:val="8"/>
    <w:lvlOverride w:ilvl="0">
      <w:startOverride w:val="1"/>
    </w:lvlOverride>
  </w:num>
  <w:num w:numId="44">
    <w:abstractNumId w:val="3"/>
    <w:lvlOverride w:ilvl="0">
      <w:startOverride w:val="1"/>
    </w:lvlOverride>
  </w:num>
  <w:num w:numId="45">
    <w:abstractNumId w:val="13"/>
  </w:num>
  <w:num w:numId="46">
    <w:abstractNumId w:val="11"/>
  </w:num>
  <w:num w:numId="4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5C6"/>
    <w:rsid w:val="00011E28"/>
    <w:rsid w:val="00011F30"/>
    <w:rsid w:val="00030AD3"/>
    <w:rsid w:val="000325DB"/>
    <w:rsid w:val="00037F8B"/>
    <w:rsid w:val="0004310D"/>
    <w:rsid w:val="00052661"/>
    <w:rsid w:val="00060BCE"/>
    <w:rsid w:val="00065E22"/>
    <w:rsid w:val="000705EE"/>
    <w:rsid w:val="00080616"/>
    <w:rsid w:val="00090C85"/>
    <w:rsid w:val="000A25B7"/>
    <w:rsid w:val="000B05D9"/>
    <w:rsid w:val="000D2913"/>
    <w:rsid w:val="000D771C"/>
    <w:rsid w:val="000E10FF"/>
    <w:rsid w:val="00112E9A"/>
    <w:rsid w:val="00126ED7"/>
    <w:rsid w:val="00127C0B"/>
    <w:rsid w:val="001512A4"/>
    <w:rsid w:val="00157F7E"/>
    <w:rsid w:val="00162923"/>
    <w:rsid w:val="00163F9B"/>
    <w:rsid w:val="001712E6"/>
    <w:rsid w:val="00171EB7"/>
    <w:rsid w:val="00172657"/>
    <w:rsid w:val="00175F65"/>
    <w:rsid w:val="00180C94"/>
    <w:rsid w:val="00184F56"/>
    <w:rsid w:val="00186CD5"/>
    <w:rsid w:val="0018746C"/>
    <w:rsid w:val="00193EBF"/>
    <w:rsid w:val="00196383"/>
    <w:rsid w:val="001B5FE8"/>
    <w:rsid w:val="001C32B1"/>
    <w:rsid w:val="001D7EBD"/>
    <w:rsid w:val="001E0046"/>
    <w:rsid w:val="001E28BA"/>
    <w:rsid w:val="001F6DF9"/>
    <w:rsid w:val="0021443F"/>
    <w:rsid w:val="00214C56"/>
    <w:rsid w:val="00233DD5"/>
    <w:rsid w:val="0023481B"/>
    <w:rsid w:val="00252660"/>
    <w:rsid w:val="00260188"/>
    <w:rsid w:val="00261D7F"/>
    <w:rsid w:val="00275CE1"/>
    <w:rsid w:val="0028450D"/>
    <w:rsid w:val="00285C2C"/>
    <w:rsid w:val="002C03E9"/>
    <w:rsid w:val="002C5DFD"/>
    <w:rsid w:val="002C6F2B"/>
    <w:rsid w:val="002D4549"/>
    <w:rsid w:val="002E722A"/>
    <w:rsid w:val="002F0DE3"/>
    <w:rsid w:val="002F250A"/>
    <w:rsid w:val="003014FD"/>
    <w:rsid w:val="00317EC6"/>
    <w:rsid w:val="00326C5C"/>
    <w:rsid w:val="003347C6"/>
    <w:rsid w:val="00352C9E"/>
    <w:rsid w:val="003531D3"/>
    <w:rsid w:val="00353524"/>
    <w:rsid w:val="00364B58"/>
    <w:rsid w:val="003715E7"/>
    <w:rsid w:val="00374635"/>
    <w:rsid w:val="00383B2E"/>
    <w:rsid w:val="00393DF1"/>
    <w:rsid w:val="003B25CE"/>
    <w:rsid w:val="003B2AC8"/>
    <w:rsid w:val="003B505F"/>
    <w:rsid w:val="003C2509"/>
    <w:rsid w:val="003C27E3"/>
    <w:rsid w:val="003C6B71"/>
    <w:rsid w:val="003D2529"/>
    <w:rsid w:val="003E4C32"/>
    <w:rsid w:val="003E7C3A"/>
    <w:rsid w:val="00420067"/>
    <w:rsid w:val="004235DB"/>
    <w:rsid w:val="004238D4"/>
    <w:rsid w:val="004541D7"/>
    <w:rsid w:val="00456314"/>
    <w:rsid w:val="0047789B"/>
    <w:rsid w:val="00485526"/>
    <w:rsid w:val="00490339"/>
    <w:rsid w:val="004937EE"/>
    <w:rsid w:val="00497966"/>
    <w:rsid w:val="004A0ADB"/>
    <w:rsid w:val="004B020B"/>
    <w:rsid w:val="004C4135"/>
    <w:rsid w:val="004C574B"/>
    <w:rsid w:val="004D01E7"/>
    <w:rsid w:val="004D4614"/>
    <w:rsid w:val="004E1737"/>
    <w:rsid w:val="004F586B"/>
    <w:rsid w:val="0050162C"/>
    <w:rsid w:val="00513508"/>
    <w:rsid w:val="005155B5"/>
    <w:rsid w:val="00533109"/>
    <w:rsid w:val="005406DC"/>
    <w:rsid w:val="005418B4"/>
    <w:rsid w:val="00554855"/>
    <w:rsid w:val="005771DE"/>
    <w:rsid w:val="00580A7C"/>
    <w:rsid w:val="00597BA5"/>
    <w:rsid w:val="005A126B"/>
    <w:rsid w:val="005A3C07"/>
    <w:rsid w:val="005A4925"/>
    <w:rsid w:val="005A506E"/>
    <w:rsid w:val="005A78B6"/>
    <w:rsid w:val="005C35C3"/>
    <w:rsid w:val="005D14B4"/>
    <w:rsid w:val="005D157D"/>
    <w:rsid w:val="005E0085"/>
    <w:rsid w:val="005E6F1A"/>
    <w:rsid w:val="005F0749"/>
    <w:rsid w:val="005F6A90"/>
    <w:rsid w:val="006108EF"/>
    <w:rsid w:val="00611FC3"/>
    <w:rsid w:val="00613E3A"/>
    <w:rsid w:val="00627058"/>
    <w:rsid w:val="00645E5A"/>
    <w:rsid w:val="006506F4"/>
    <w:rsid w:val="006529C7"/>
    <w:rsid w:val="00653962"/>
    <w:rsid w:val="006830C4"/>
    <w:rsid w:val="00692BD7"/>
    <w:rsid w:val="00696265"/>
    <w:rsid w:val="006A2F2F"/>
    <w:rsid w:val="006A4554"/>
    <w:rsid w:val="006A538B"/>
    <w:rsid w:val="006F0F96"/>
    <w:rsid w:val="006F1752"/>
    <w:rsid w:val="006F37AB"/>
    <w:rsid w:val="006F42F9"/>
    <w:rsid w:val="0072688A"/>
    <w:rsid w:val="007359A3"/>
    <w:rsid w:val="00742D9F"/>
    <w:rsid w:val="00766418"/>
    <w:rsid w:val="00770D02"/>
    <w:rsid w:val="00781744"/>
    <w:rsid w:val="00783CAB"/>
    <w:rsid w:val="007A4837"/>
    <w:rsid w:val="007C1167"/>
    <w:rsid w:val="007C27E0"/>
    <w:rsid w:val="007C37A6"/>
    <w:rsid w:val="007D60F8"/>
    <w:rsid w:val="007D69FA"/>
    <w:rsid w:val="007E3E3B"/>
    <w:rsid w:val="007E6EFD"/>
    <w:rsid w:val="007F426A"/>
    <w:rsid w:val="007F672B"/>
    <w:rsid w:val="00803C10"/>
    <w:rsid w:val="00805854"/>
    <w:rsid w:val="00807A74"/>
    <w:rsid w:val="00815512"/>
    <w:rsid w:val="00820FC5"/>
    <w:rsid w:val="0083308D"/>
    <w:rsid w:val="008348A2"/>
    <w:rsid w:val="00844747"/>
    <w:rsid w:val="00851EFD"/>
    <w:rsid w:val="00854FBF"/>
    <w:rsid w:val="008579F3"/>
    <w:rsid w:val="008611E6"/>
    <w:rsid w:val="008672A9"/>
    <w:rsid w:val="00874BD7"/>
    <w:rsid w:val="008936C5"/>
    <w:rsid w:val="00895D40"/>
    <w:rsid w:val="008A272D"/>
    <w:rsid w:val="008B72AB"/>
    <w:rsid w:val="008B744F"/>
    <w:rsid w:val="008D6C97"/>
    <w:rsid w:val="009008EB"/>
    <w:rsid w:val="009053EB"/>
    <w:rsid w:val="009054BA"/>
    <w:rsid w:val="009118BE"/>
    <w:rsid w:val="00926142"/>
    <w:rsid w:val="009338A5"/>
    <w:rsid w:val="009462D1"/>
    <w:rsid w:val="00982565"/>
    <w:rsid w:val="00984A08"/>
    <w:rsid w:val="00996275"/>
    <w:rsid w:val="009A485A"/>
    <w:rsid w:val="009A681C"/>
    <w:rsid w:val="009B0B05"/>
    <w:rsid w:val="009D43C1"/>
    <w:rsid w:val="009E76A1"/>
    <w:rsid w:val="009F7F20"/>
    <w:rsid w:val="00A00DFE"/>
    <w:rsid w:val="00A01786"/>
    <w:rsid w:val="00A041ED"/>
    <w:rsid w:val="00A420AF"/>
    <w:rsid w:val="00A465D1"/>
    <w:rsid w:val="00A523C6"/>
    <w:rsid w:val="00A85272"/>
    <w:rsid w:val="00AA2E43"/>
    <w:rsid w:val="00AA5226"/>
    <w:rsid w:val="00AA6E4E"/>
    <w:rsid w:val="00AA70A6"/>
    <w:rsid w:val="00AB65E2"/>
    <w:rsid w:val="00AC6033"/>
    <w:rsid w:val="00AD4F29"/>
    <w:rsid w:val="00B03B96"/>
    <w:rsid w:val="00B208A1"/>
    <w:rsid w:val="00B319F7"/>
    <w:rsid w:val="00B33DDB"/>
    <w:rsid w:val="00B50062"/>
    <w:rsid w:val="00B6224B"/>
    <w:rsid w:val="00B640B5"/>
    <w:rsid w:val="00B71FE2"/>
    <w:rsid w:val="00B970F5"/>
    <w:rsid w:val="00B9723D"/>
    <w:rsid w:val="00BA61F5"/>
    <w:rsid w:val="00BC4924"/>
    <w:rsid w:val="00BC5B94"/>
    <w:rsid w:val="00BC625D"/>
    <w:rsid w:val="00BC6BD3"/>
    <w:rsid w:val="00BF7520"/>
    <w:rsid w:val="00C12FF8"/>
    <w:rsid w:val="00C269BB"/>
    <w:rsid w:val="00C272C1"/>
    <w:rsid w:val="00C32BA2"/>
    <w:rsid w:val="00C75061"/>
    <w:rsid w:val="00C970E0"/>
    <w:rsid w:val="00CA32D3"/>
    <w:rsid w:val="00CC123C"/>
    <w:rsid w:val="00CC555C"/>
    <w:rsid w:val="00CD488F"/>
    <w:rsid w:val="00CD5212"/>
    <w:rsid w:val="00CF267B"/>
    <w:rsid w:val="00CF4491"/>
    <w:rsid w:val="00D0138D"/>
    <w:rsid w:val="00D22F7A"/>
    <w:rsid w:val="00D23BC8"/>
    <w:rsid w:val="00D3419B"/>
    <w:rsid w:val="00D42448"/>
    <w:rsid w:val="00D617E1"/>
    <w:rsid w:val="00D76E31"/>
    <w:rsid w:val="00D8099A"/>
    <w:rsid w:val="00D96F13"/>
    <w:rsid w:val="00D97366"/>
    <w:rsid w:val="00DB157D"/>
    <w:rsid w:val="00DC610C"/>
    <w:rsid w:val="00DC6773"/>
    <w:rsid w:val="00DD0120"/>
    <w:rsid w:val="00DD0158"/>
    <w:rsid w:val="00DE7FEB"/>
    <w:rsid w:val="00E015C6"/>
    <w:rsid w:val="00E172B7"/>
    <w:rsid w:val="00E32FA0"/>
    <w:rsid w:val="00E35CA6"/>
    <w:rsid w:val="00E44C46"/>
    <w:rsid w:val="00E46610"/>
    <w:rsid w:val="00E569C5"/>
    <w:rsid w:val="00E721B8"/>
    <w:rsid w:val="00E90512"/>
    <w:rsid w:val="00EA0F90"/>
    <w:rsid w:val="00EA661D"/>
    <w:rsid w:val="00EC6F31"/>
    <w:rsid w:val="00EC70E3"/>
    <w:rsid w:val="00EF48FA"/>
    <w:rsid w:val="00EF520B"/>
    <w:rsid w:val="00F01384"/>
    <w:rsid w:val="00F22C69"/>
    <w:rsid w:val="00F35FBB"/>
    <w:rsid w:val="00F45F50"/>
    <w:rsid w:val="00F47BD9"/>
    <w:rsid w:val="00F6156E"/>
    <w:rsid w:val="00F6364F"/>
    <w:rsid w:val="00F653E6"/>
    <w:rsid w:val="00F6546F"/>
    <w:rsid w:val="00F8026F"/>
    <w:rsid w:val="00F87A1C"/>
    <w:rsid w:val="00F920AD"/>
    <w:rsid w:val="00FA30A9"/>
    <w:rsid w:val="00FB5A64"/>
    <w:rsid w:val="00FC0C4F"/>
    <w:rsid w:val="00FC260F"/>
    <w:rsid w:val="00FF3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A608E2"/>
  <w15:chartTrackingRefBased/>
  <w15:docId w15:val="{CE70EA91-4D0E-4B0E-8AD5-956B8B03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F87A1C"/>
    <w:pPr>
      <w:spacing w:after="0" w:line="264" w:lineRule="auto"/>
    </w:pPr>
    <w:rPr>
      <w:rFonts w:ascii="Calibri" w:hAnsi="Calibri"/>
      <w:lang w:val="nl-NL"/>
    </w:rPr>
  </w:style>
  <w:style w:type="paragraph" w:styleId="Kop1">
    <w:name w:val="heading 1"/>
    <w:basedOn w:val="Standaard"/>
    <w:next w:val="Standaard"/>
    <w:link w:val="Kop1Char"/>
    <w:uiPriority w:val="9"/>
    <w:qFormat/>
    <w:rsid w:val="005A78B6"/>
    <w:pPr>
      <w:keepNext/>
      <w:keepLines/>
      <w:pageBreakBefore/>
      <w:spacing w:after="240"/>
      <w:outlineLvl w:val="0"/>
    </w:pPr>
    <w:rPr>
      <w:rFonts w:asciiTheme="majorHAnsi" w:eastAsiaTheme="majorEastAsia" w:hAnsiTheme="majorHAnsi" w:cstheme="majorBidi"/>
      <w:b/>
      <w:sz w:val="36"/>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CD5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par">
    <w:name w:val="Header par"/>
    <w:basedOn w:val="Standaard"/>
    <w:link w:val="HeaderparChar"/>
    <w:qFormat/>
    <w:rsid w:val="00805854"/>
    <w:pPr>
      <w:tabs>
        <w:tab w:val="left" w:pos="1440"/>
      </w:tabs>
      <w:ind w:left="1440" w:hanging="1440"/>
    </w:pPr>
  </w:style>
  <w:style w:type="character" w:customStyle="1" w:styleId="HeaderparChar">
    <w:name w:val="Header par Char"/>
    <w:basedOn w:val="Standaardalinea-lettertype"/>
    <w:link w:val="Headerpar"/>
    <w:rsid w:val="00805854"/>
    <w:rPr>
      <w:rFonts w:ascii="Calibri" w:hAnsi="Calibri"/>
      <w:lang w:val="nl-NL"/>
    </w:rPr>
  </w:style>
  <w:style w:type="character" w:customStyle="1" w:styleId="Kop1Char">
    <w:name w:val="Kop 1 Char"/>
    <w:basedOn w:val="Standaardalinea-lettertype"/>
    <w:link w:val="Kop1"/>
    <w:uiPriority w:val="9"/>
    <w:rsid w:val="005A78B6"/>
    <w:rPr>
      <w:rFonts w:asciiTheme="majorHAnsi" w:eastAsiaTheme="majorEastAsia" w:hAnsiTheme="majorHAnsi" w:cstheme="majorBidi"/>
      <w:b/>
      <w:sz w:val="36"/>
      <w:szCs w:val="32"/>
      <w:lang w:val="nl-NL"/>
    </w:rPr>
  </w:style>
  <w:style w:type="paragraph" w:customStyle="1" w:styleId="Tablepar">
    <w:name w:val="Table par"/>
    <w:basedOn w:val="Standaard"/>
    <w:qFormat/>
    <w:rsid w:val="002F0DE3"/>
    <w:pPr>
      <w:spacing w:before="40" w:after="40"/>
    </w:pPr>
    <w:rPr>
      <w:rFonts w:cs="Arial"/>
    </w:rPr>
  </w:style>
  <w:style w:type="paragraph" w:styleId="Ballontekst">
    <w:name w:val="Balloon Text"/>
    <w:basedOn w:val="Standaard"/>
    <w:link w:val="BallontekstChar"/>
    <w:uiPriority w:val="99"/>
    <w:semiHidden/>
    <w:unhideWhenUsed/>
    <w:rsid w:val="002F0DE3"/>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F0DE3"/>
    <w:rPr>
      <w:rFonts w:ascii="Segoe UI" w:hAnsi="Segoe UI" w:cs="Segoe UI"/>
      <w:sz w:val="18"/>
      <w:szCs w:val="18"/>
      <w:lang w:val="nl-NL"/>
    </w:rPr>
  </w:style>
  <w:style w:type="paragraph" w:styleId="Koptekst">
    <w:name w:val="header"/>
    <w:basedOn w:val="Standaard"/>
    <w:link w:val="KoptekstChar"/>
    <w:uiPriority w:val="99"/>
    <w:unhideWhenUsed/>
    <w:rsid w:val="006A4554"/>
    <w:pPr>
      <w:tabs>
        <w:tab w:val="center" w:pos="4703"/>
        <w:tab w:val="right" w:pos="9406"/>
      </w:tabs>
      <w:spacing w:line="240" w:lineRule="auto"/>
    </w:pPr>
    <w:rPr>
      <w:color w:val="7F7F7F" w:themeColor="text1" w:themeTint="80"/>
    </w:rPr>
  </w:style>
  <w:style w:type="character" w:customStyle="1" w:styleId="KoptekstChar">
    <w:name w:val="Koptekst Char"/>
    <w:basedOn w:val="Standaardalinea-lettertype"/>
    <w:link w:val="Koptekst"/>
    <w:uiPriority w:val="99"/>
    <w:rsid w:val="006A4554"/>
    <w:rPr>
      <w:rFonts w:ascii="Calibri" w:hAnsi="Calibri"/>
      <w:color w:val="7F7F7F" w:themeColor="text1" w:themeTint="80"/>
      <w:lang w:val="nl-NL"/>
    </w:rPr>
  </w:style>
  <w:style w:type="paragraph" w:styleId="Voettekst">
    <w:name w:val="footer"/>
    <w:basedOn w:val="Standaard"/>
    <w:link w:val="VoettekstChar"/>
    <w:uiPriority w:val="99"/>
    <w:unhideWhenUsed/>
    <w:rsid w:val="006A4554"/>
    <w:pPr>
      <w:tabs>
        <w:tab w:val="center" w:pos="4703"/>
        <w:tab w:val="right" w:pos="9406"/>
      </w:tabs>
      <w:spacing w:line="240" w:lineRule="auto"/>
    </w:pPr>
    <w:rPr>
      <w:color w:val="7F7F7F" w:themeColor="text1" w:themeTint="80"/>
    </w:rPr>
  </w:style>
  <w:style w:type="character" w:customStyle="1" w:styleId="VoettekstChar">
    <w:name w:val="Voettekst Char"/>
    <w:basedOn w:val="Standaardalinea-lettertype"/>
    <w:link w:val="Voettekst"/>
    <w:uiPriority w:val="99"/>
    <w:rsid w:val="006A4554"/>
    <w:rPr>
      <w:rFonts w:ascii="Calibri" w:hAnsi="Calibri"/>
      <w:color w:val="7F7F7F" w:themeColor="text1" w:themeTint="80"/>
      <w:lang w:val="nl-NL"/>
    </w:rPr>
  </w:style>
  <w:style w:type="numbering" w:customStyle="1" w:styleId="ListstyleMK">
    <w:name w:val="List style MK"/>
    <w:uiPriority w:val="99"/>
    <w:rsid w:val="00AC6033"/>
    <w:pPr>
      <w:numPr>
        <w:numId w:val="1"/>
      </w:numPr>
    </w:pPr>
  </w:style>
  <w:style w:type="paragraph" w:styleId="Lijstnummering2">
    <w:name w:val="List Number 2"/>
    <w:basedOn w:val="Standaard"/>
    <w:uiPriority w:val="99"/>
    <w:unhideWhenUsed/>
    <w:rsid w:val="004E1737"/>
    <w:pPr>
      <w:numPr>
        <w:numId w:val="3"/>
      </w:numPr>
      <w:ind w:left="720"/>
      <w:contextualSpacing/>
    </w:pPr>
  </w:style>
  <w:style w:type="paragraph" w:styleId="Lijstnummering">
    <w:name w:val="List Number"/>
    <w:basedOn w:val="Standaard"/>
    <w:uiPriority w:val="99"/>
    <w:unhideWhenUsed/>
    <w:rsid w:val="009118BE"/>
    <w:pPr>
      <w:numPr>
        <w:numId w:val="2"/>
      </w:numPr>
      <w:contextualSpacing/>
    </w:pPr>
  </w:style>
  <w:style w:type="paragraph" w:styleId="Lijstvoortzetting">
    <w:name w:val="List Continue"/>
    <w:basedOn w:val="Standaard"/>
    <w:uiPriority w:val="99"/>
    <w:unhideWhenUsed/>
    <w:rsid w:val="001C32B1"/>
    <w:pPr>
      <w:ind w:left="360"/>
      <w:contextualSpacing/>
    </w:pPr>
  </w:style>
  <w:style w:type="paragraph" w:styleId="Lijstvoortzetting2">
    <w:name w:val="List Continue 2"/>
    <w:basedOn w:val="Standaard"/>
    <w:uiPriority w:val="99"/>
    <w:unhideWhenUsed/>
    <w:rsid w:val="009118BE"/>
    <w:pPr>
      <w:spacing w:after="120"/>
      <w:ind w:left="720"/>
      <w:contextualSpacing/>
    </w:pPr>
  </w:style>
  <w:style w:type="character" w:styleId="Tekstvantijdelijkeaanduiding">
    <w:name w:val="Placeholder Text"/>
    <w:basedOn w:val="Standaardalinea-lettertype"/>
    <w:uiPriority w:val="99"/>
    <w:semiHidden/>
    <w:rsid w:val="0072688A"/>
    <w:rPr>
      <w:color w:val="808080"/>
    </w:rPr>
  </w:style>
  <w:style w:type="paragraph" w:styleId="Lijstalinea">
    <w:name w:val="List Paragraph"/>
    <w:basedOn w:val="Standaard"/>
    <w:uiPriority w:val="34"/>
    <w:qFormat/>
    <w:rsid w:val="006830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124327">
      <w:bodyDiv w:val="1"/>
      <w:marLeft w:val="0"/>
      <w:marRight w:val="0"/>
      <w:marTop w:val="0"/>
      <w:marBottom w:val="0"/>
      <w:divBdr>
        <w:top w:val="none" w:sz="0" w:space="0" w:color="auto"/>
        <w:left w:val="none" w:sz="0" w:space="0" w:color="auto"/>
        <w:bottom w:val="none" w:sz="0" w:space="0" w:color="auto"/>
        <w:right w:val="none" w:sz="0" w:space="0" w:color="auto"/>
      </w:divBdr>
    </w:div>
    <w:div w:id="1026834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5B104D-F914-4008-A4E1-4B17BF8D3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3777</TotalTime>
  <Pages>3</Pages>
  <Words>751</Words>
  <Characters>4283</Characters>
  <Application>Microsoft Office Word</Application>
  <DocSecurity>0</DocSecurity>
  <Lines>35</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Schut Baseboard/SMOD Requirements/specifications</vt:lpstr>
      <vt:lpstr>Internal Progress Meeting Minutes</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Schut Baseboard/SMOD Requirements/specifications</dc:title>
  <dc:subject/>
  <dc:creator>K. Reitsma</dc:creator>
  <cp:keywords/>
  <dc:description/>
  <cp:lastModifiedBy>Keimpe Reitsma</cp:lastModifiedBy>
  <cp:revision>99</cp:revision>
  <cp:lastPrinted>2017-12-04T08:38:00Z</cp:lastPrinted>
  <dcterms:created xsi:type="dcterms:W3CDTF">2017-04-20T10:55:00Z</dcterms:created>
  <dcterms:modified xsi:type="dcterms:W3CDTF">2017-12-04T08:40:00Z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released">
    <vt:lpwstr>05-okt-2017</vt:lpwstr>
  </property>
  <property fmtid="{D5CDD505-2E9C-101B-9397-08002B2CF9AE}" pid="3" name="Document number">
    <vt:lpwstr>PHO-0387-A0-2-1</vt:lpwstr>
  </property>
  <property fmtid="{D5CDD505-2E9C-101B-9397-08002B2CF9AE}" pid="4" name="Revision">
    <vt:lpwstr>001</vt:lpwstr>
  </property>
  <property fmtid="{D5CDD505-2E9C-101B-9397-08002B2CF9AE}" pid="5" name="Project name">
    <vt:lpwstr> </vt:lpwstr>
  </property>
  <property fmtid="{D5CDD505-2E9C-101B-9397-08002B2CF9AE}" pid="6" name="Project number">
    <vt:lpwstr> </vt:lpwstr>
  </property>
</Properties>
</file>